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625" w:beforeLines="200" w:after="625" w:afterLines="2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625" w:beforeLines="200" w:after="625" w:afterLines="2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二〇一四</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如皋</w:t>
      </w:r>
      <w:r>
        <w:rPr>
          <w:rFonts w:hint="eastAsia" w:ascii="方正小标宋简体" w:hAnsi="方正小标宋简体" w:eastAsia="方正小标宋简体" w:cs="方正小标宋简体"/>
          <w:b w:val="0"/>
          <w:bCs w:val="0"/>
          <w:color w:val="000000"/>
          <w:kern w:val="0"/>
          <w:sz w:val="44"/>
          <w:szCs w:val="44"/>
        </w:rPr>
        <w:t>市图书馆</w:t>
      </w:r>
      <w:r>
        <w:rPr>
          <w:rFonts w:hint="eastAsia" w:ascii="方正小标宋简体" w:hAnsi="方正小标宋简体" w:eastAsia="方正小标宋简体" w:cs="方正小标宋简体"/>
          <w:b w:val="0"/>
          <w:bCs w:val="0"/>
          <w:color w:val="000000"/>
          <w:kern w:val="0"/>
          <w:sz w:val="44"/>
          <w:szCs w:val="44"/>
          <w:lang w:val="en-US" w:eastAsia="zh-CN"/>
        </w:rPr>
        <w:t>年报</w:t>
      </w:r>
    </w:p>
    <w:p>
      <w:pPr>
        <w:keepNext w:val="0"/>
        <w:keepLines w:val="0"/>
        <w:pageBreakBefore w:val="0"/>
        <w:widowControl w:val="0"/>
        <w:kinsoku/>
        <w:wordWrap/>
        <w:overflowPunct/>
        <w:topLinePunct w:val="0"/>
        <w:autoSpaceDE w:val="0"/>
        <w:autoSpaceDN w:val="0"/>
        <w:bidi w:val="0"/>
        <w:adjustRightInd w:val="0"/>
        <w:snapToGrid w:val="0"/>
        <w:spacing w:before="625" w:beforeLines="200" w:after="625" w:afterLines="200"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36"/>
          <w:szCs w:val="36"/>
          <w:lang w:val="en-US" w:eastAsia="zh-CN"/>
        </w:rPr>
      </w:pPr>
      <w:r>
        <w:rPr>
          <w:rFonts w:hint="eastAsia" w:ascii="黑体" w:hAnsi="黑体" w:eastAsia="黑体" w:cs="黑体"/>
          <w:b w:val="0"/>
          <w:bCs w:val="0"/>
          <w:color w:val="000000"/>
          <w:kern w:val="0"/>
          <w:sz w:val="36"/>
          <w:szCs w:val="36"/>
          <w:lang w:val="en-US" w:eastAsia="zh-CN"/>
        </w:rPr>
        <w:t>目    录</w:t>
      </w:r>
    </w:p>
    <w:p>
      <w:pPr>
        <w:pStyle w:val="5"/>
        <w:tabs>
          <w:tab w:val="right" w:leader="dot" w:pos="9638"/>
        </w:tabs>
        <w:rPr>
          <w:rFonts w:hint="eastAsia" w:ascii="楷体" w:hAnsi="楷体" w:eastAsia="楷体" w:cs="楷体"/>
          <w:sz w:val="32"/>
          <w:szCs w:val="32"/>
        </w:rPr>
      </w:pPr>
      <w:r>
        <w:rPr>
          <w:rFonts w:hint="eastAsia" w:ascii="宋体" w:hAnsi="宋体" w:eastAsia="宋体" w:cs="宋体"/>
          <w:b w:val="0"/>
          <w:bCs w:val="0"/>
          <w:color w:val="000000"/>
          <w:kern w:val="0"/>
          <w:sz w:val="32"/>
          <w:szCs w:val="32"/>
          <w:lang w:val="en-US" w:eastAsia="zh-CN"/>
        </w:rPr>
        <w:fldChar w:fldCharType="begin"/>
      </w:r>
      <w:r>
        <w:rPr>
          <w:rFonts w:hint="eastAsia" w:ascii="宋体" w:hAnsi="宋体" w:eastAsia="宋体" w:cs="宋体"/>
          <w:b w:val="0"/>
          <w:bCs w:val="0"/>
          <w:color w:val="000000"/>
          <w:kern w:val="0"/>
          <w:sz w:val="32"/>
          <w:szCs w:val="32"/>
          <w:lang w:val="en-US" w:eastAsia="zh-CN"/>
        </w:rPr>
        <w:instrText xml:space="preserve">TOC \o "1-3" \h \u </w:instrText>
      </w:r>
      <w:r>
        <w:rPr>
          <w:rFonts w:hint="eastAsia" w:ascii="宋体" w:hAnsi="宋体" w:eastAsia="宋体" w:cs="宋体"/>
          <w:b w:val="0"/>
          <w:bCs w:val="0"/>
          <w:color w:val="000000"/>
          <w:kern w:val="0"/>
          <w:sz w:val="32"/>
          <w:szCs w:val="32"/>
          <w:lang w:val="en-US" w:eastAsia="zh-CN"/>
        </w:rPr>
        <w:fldChar w:fldCharType="separate"/>
      </w: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_Toc2465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kern w:val="0"/>
          <w:sz w:val="32"/>
          <w:szCs w:val="32"/>
          <w:lang w:val="en-US" w:eastAsia="zh-CN"/>
        </w:rPr>
        <w:t>如皋市图书馆二〇一四年工作总结</w:t>
      </w:r>
      <w:r>
        <w:rPr>
          <w:rFonts w:hint="eastAsia" w:ascii="楷体" w:hAnsi="楷体" w:eastAsia="楷体" w:cs="楷体"/>
          <w:sz w:val="32"/>
          <w:szCs w:val="32"/>
        </w:rPr>
        <w:tab/>
      </w:r>
      <w:r>
        <w:rPr>
          <w:rFonts w:hint="eastAsia" w:ascii="楷体" w:hAnsi="楷体" w:eastAsia="楷体" w:cs="楷体"/>
          <w:sz w:val="32"/>
          <w:szCs w:val="32"/>
          <w:lang w:val="en-US" w:eastAsia="zh-CN"/>
        </w:rPr>
        <w:t>1</w:t>
      </w:r>
      <w:r>
        <w:rPr>
          <w:rFonts w:hint="eastAsia" w:ascii="楷体" w:hAnsi="楷体" w:eastAsia="楷体" w:cs="楷体"/>
          <w:bCs w:val="0"/>
          <w:color w:val="000000"/>
          <w:kern w:val="0"/>
          <w:sz w:val="32"/>
          <w:szCs w:val="32"/>
          <w:lang w:val="en-US" w:eastAsia="zh-CN"/>
        </w:rPr>
        <w:fldChar w:fldCharType="end"/>
      </w:r>
    </w:p>
    <w:p>
      <w:pPr>
        <w:pStyle w:val="5"/>
        <w:tabs>
          <w:tab w:val="right" w:leader="dot" w:pos="9638"/>
        </w:tabs>
        <w:rPr>
          <w:rFonts w:hint="eastAsia" w:ascii="楷体" w:hAnsi="楷体" w:eastAsia="楷体" w:cs="楷体"/>
          <w:sz w:val="32"/>
          <w:szCs w:val="32"/>
        </w:rPr>
      </w:pP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_Toc15296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sz w:val="32"/>
          <w:szCs w:val="32"/>
          <w:lang w:val="en-US" w:eastAsia="zh-CN"/>
        </w:rPr>
        <w:t>如皋市图书馆二〇一四年业务统计分析报告</w:t>
      </w:r>
      <w:r>
        <w:rPr>
          <w:rFonts w:hint="eastAsia" w:ascii="楷体" w:hAnsi="楷体" w:eastAsia="楷体" w:cs="楷体"/>
          <w:sz w:val="32"/>
          <w:szCs w:val="32"/>
        </w:rPr>
        <w:tab/>
      </w:r>
      <w:r>
        <w:rPr>
          <w:rFonts w:hint="eastAsia" w:ascii="楷体" w:hAnsi="楷体" w:eastAsia="楷体" w:cs="楷体"/>
          <w:sz w:val="32"/>
          <w:szCs w:val="32"/>
          <w:lang w:val="en-US" w:eastAsia="zh-CN"/>
        </w:rPr>
        <w:t>9</w:t>
      </w:r>
      <w:r>
        <w:rPr>
          <w:rFonts w:hint="eastAsia" w:ascii="楷体" w:hAnsi="楷体" w:eastAsia="楷体" w:cs="楷体"/>
          <w:bCs w:val="0"/>
          <w:color w:val="000000"/>
          <w:kern w:val="0"/>
          <w:sz w:val="32"/>
          <w:szCs w:val="32"/>
          <w:lang w:val="en-US" w:eastAsia="zh-CN"/>
        </w:rPr>
        <w:fldChar w:fldCharType="end"/>
      </w:r>
    </w:p>
    <w:p>
      <w:pPr>
        <w:pStyle w:val="5"/>
        <w:tabs>
          <w:tab w:val="right" w:leader="dot" w:pos="9638"/>
        </w:tabs>
        <w:rPr>
          <w:rFonts w:hint="eastAsia" w:ascii="黑体" w:hAnsi="黑体" w:eastAsia="黑体" w:cs="黑体"/>
          <w:sz w:val="32"/>
          <w:szCs w:val="32"/>
        </w:rPr>
      </w:pPr>
      <w:r>
        <w:rPr>
          <w:rFonts w:hint="eastAsia" w:ascii="楷体" w:hAnsi="楷体" w:eastAsia="楷体" w:cs="楷体"/>
          <w:bCs w:val="0"/>
          <w:sz w:val="32"/>
          <w:szCs w:val="32"/>
          <w:lang w:val="en-US" w:eastAsia="zh-CN"/>
        </w:rPr>
        <w:t>如皋市图书馆二〇一四年</w:t>
      </w: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_Toc23034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sz w:val="32"/>
          <w:szCs w:val="32"/>
          <w:lang w:val="en-US" w:eastAsia="zh-CN"/>
        </w:rPr>
        <w:t>大事记</w:t>
      </w:r>
      <w:r>
        <w:rPr>
          <w:rFonts w:hint="eastAsia" w:ascii="楷体" w:hAnsi="楷体" w:eastAsia="楷体" w:cs="楷体"/>
          <w:sz w:val="32"/>
          <w:szCs w:val="32"/>
        </w:rPr>
        <w:tab/>
      </w:r>
      <w:r>
        <w:rPr>
          <w:rFonts w:hint="eastAsia" w:ascii="楷体" w:hAnsi="楷体" w:eastAsia="楷体" w:cs="楷体"/>
          <w:sz w:val="32"/>
          <w:szCs w:val="32"/>
          <w:lang w:val="en-US" w:eastAsia="zh-CN"/>
        </w:rPr>
        <w:t>2</w:t>
      </w:r>
      <w:r>
        <w:rPr>
          <w:rFonts w:hint="eastAsia" w:ascii="楷体" w:hAnsi="楷体" w:eastAsia="楷体" w:cs="楷体"/>
          <w:bCs w:val="0"/>
          <w:color w:val="000000"/>
          <w:kern w:val="0"/>
          <w:sz w:val="32"/>
          <w:szCs w:val="32"/>
          <w:lang w:val="en-US" w:eastAsia="zh-CN"/>
        </w:rPr>
        <w:fldChar w:fldCharType="end"/>
      </w:r>
      <w:r>
        <w:rPr>
          <w:rFonts w:hint="eastAsia" w:ascii="楷体" w:hAnsi="楷体" w:eastAsia="楷体" w:cs="楷体"/>
          <w:bCs w:val="0"/>
          <w:color w:val="000000"/>
          <w:kern w:val="0"/>
          <w:sz w:val="32"/>
          <w:szCs w:val="32"/>
          <w:lang w:val="en-US" w:eastAsia="zh-CN"/>
        </w:rPr>
        <w:t>4</w:t>
      </w:r>
    </w:p>
    <w:p>
      <w:pPr>
        <w:pStyle w:val="5"/>
        <w:tabs>
          <w:tab w:val="right" w:leader="dot" w:pos="9638"/>
        </w:tabs>
        <w:rPr>
          <w:rFonts w:hint="eastAsia" w:ascii="宋体" w:hAnsi="宋体" w:eastAsia="宋体" w:cs="宋体"/>
          <w:sz w:val="32"/>
          <w:szCs w:val="32"/>
        </w:rPr>
      </w:pPr>
      <w:r>
        <w:rPr>
          <w:rFonts w:hint="eastAsia" w:ascii="黑体" w:hAnsi="黑体" w:eastAsia="黑体" w:cs="黑体"/>
          <w:bCs w:val="0"/>
          <w:color w:val="000000"/>
          <w:kern w:val="0"/>
          <w:sz w:val="32"/>
          <w:szCs w:val="32"/>
          <w:lang w:val="en-US" w:eastAsia="zh-CN"/>
        </w:rPr>
        <w:fldChar w:fldCharType="begin"/>
      </w:r>
      <w:r>
        <w:rPr>
          <w:rFonts w:hint="eastAsia" w:ascii="黑体" w:hAnsi="黑体" w:eastAsia="黑体" w:cs="黑体"/>
          <w:bCs w:val="0"/>
          <w:kern w:val="0"/>
          <w:sz w:val="32"/>
          <w:szCs w:val="32"/>
          <w:lang w:val="en-US" w:eastAsia="zh-CN"/>
        </w:rPr>
        <w:instrText xml:space="preserve"> HYPERLINK \l _Toc27449 </w:instrText>
      </w:r>
      <w:r>
        <w:rPr>
          <w:rFonts w:hint="eastAsia" w:ascii="黑体" w:hAnsi="黑体" w:eastAsia="黑体" w:cs="黑体"/>
          <w:bCs w:val="0"/>
          <w:kern w:val="0"/>
          <w:sz w:val="32"/>
          <w:szCs w:val="32"/>
          <w:lang w:val="en-US" w:eastAsia="zh-CN"/>
        </w:rPr>
        <w:fldChar w:fldCharType="separate"/>
      </w:r>
      <w:r>
        <w:rPr>
          <w:rFonts w:hint="eastAsia" w:ascii="黑体" w:hAnsi="黑体" w:eastAsia="黑体" w:cs="黑体"/>
          <w:bCs w:val="0"/>
          <w:color w:val="000000"/>
          <w:kern w:val="0"/>
          <w:sz w:val="32"/>
          <w:szCs w:val="32"/>
          <w:lang w:val="en-US" w:eastAsia="zh-CN"/>
        </w:rPr>
        <w:fldChar w:fldCharType="end"/>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r>
        <w:rPr>
          <w:rFonts w:hint="eastAsia" w:ascii="宋体" w:hAnsi="宋体" w:eastAsia="宋体" w:cs="宋体"/>
          <w:bCs w:val="0"/>
          <w:color w:val="000000"/>
          <w:kern w:val="0"/>
          <w:sz w:val="32"/>
          <w:szCs w:val="32"/>
          <w:lang w:val="en-US" w:eastAsia="zh-CN"/>
        </w:rPr>
        <w:fldChar w:fldCharType="end"/>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方正小标宋简体" w:hAnsi="方正小标宋简体" w:eastAsia="方正小标宋简体" w:cs="方正小标宋简体"/>
          <w:b w:val="0"/>
          <w:bCs w:val="0"/>
          <w:color w:val="000000"/>
          <w:kern w:val="0"/>
          <w:sz w:val="44"/>
          <w:szCs w:val="44"/>
          <w:lang w:eastAsia="zh-CN"/>
        </w:rPr>
        <w:sectPr>
          <w:pgSz w:w="11906" w:h="16838"/>
          <w:pgMar w:top="1440" w:right="1080" w:bottom="1440" w:left="1080" w:header="851" w:footer="992" w:gutter="0"/>
          <w:pgNumType w:fmt="decimal" w:start="1"/>
          <w:cols w:space="425" w:num="1"/>
          <w:docGrid w:type="lines" w:linePitch="312" w:charSpace="0"/>
        </w:sect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如皋</w:t>
      </w:r>
      <w:r>
        <w:rPr>
          <w:rFonts w:hint="eastAsia" w:ascii="方正小标宋简体" w:hAnsi="方正小标宋简体" w:eastAsia="方正小标宋简体" w:cs="方正小标宋简体"/>
          <w:b w:val="0"/>
          <w:bCs w:val="0"/>
          <w:color w:val="000000"/>
          <w:kern w:val="0"/>
          <w:sz w:val="44"/>
          <w:szCs w:val="44"/>
        </w:rPr>
        <w:t>市图书馆201</w:t>
      </w:r>
      <w:r>
        <w:rPr>
          <w:rFonts w:hint="eastAsia" w:ascii="方正小标宋简体" w:hAnsi="方正小标宋简体" w:eastAsia="方正小标宋简体" w:cs="方正小标宋简体"/>
          <w:b w:val="0"/>
          <w:bCs w:val="0"/>
          <w:color w:val="000000"/>
          <w:kern w:val="0"/>
          <w:sz w:val="44"/>
          <w:szCs w:val="44"/>
          <w:lang w:val="en-US" w:eastAsia="zh-CN"/>
        </w:rPr>
        <w:t>4</w:t>
      </w:r>
      <w:r>
        <w:rPr>
          <w:rFonts w:hint="eastAsia" w:ascii="方正小标宋简体" w:hAnsi="方正小标宋简体" w:eastAsia="方正小标宋简体" w:cs="方正小标宋简体"/>
          <w:b w:val="0"/>
          <w:bCs w:val="0"/>
          <w:color w:val="000000"/>
          <w:kern w:val="0"/>
          <w:sz w:val="44"/>
          <w:szCs w:val="44"/>
        </w:rPr>
        <w:t>年年度概况</w:t>
      </w:r>
    </w:p>
    <w:p>
      <w:pPr>
        <w:keepNext w:val="0"/>
        <w:keepLines w:val="0"/>
        <w:pageBreakBefore w:val="0"/>
        <w:widowControl w:val="0"/>
        <w:kinsoku/>
        <w:wordWrap/>
        <w:overflowPunct/>
        <w:topLinePunct w:val="0"/>
        <w:autoSpaceDE/>
        <w:autoSpaceDN/>
        <w:bidi w:val="0"/>
        <w:adjustRightInd/>
        <w:snapToGrid/>
        <w:spacing w:after="312" w:afterLines="100" w:line="360" w:lineRule="auto"/>
        <w:ind w:left="0" w:leftChars="0" w:right="0" w:rightChars="0"/>
        <w:jc w:val="center"/>
        <w:textAlignment w:val="auto"/>
        <w:outlineLvl w:val="9"/>
        <w:rPr>
          <w:rFonts w:hint="eastAsia" w:ascii="楷体" w:hAnsi="楷体" w:eastAsia="楷体" w:cs="楷体"/>
          <w:bCs/>
          <w:sz w:val="32"/>
          <w:szCs w:val="32"/>
        </w:rPr>
      </w:pPr>
      <w:r>
        <w:rPr>
          <w:rFonts w:hint="eastAsia" w:ascii="楷体" w:hAnsi="楷体" w:eastAsia="楷体" w:cs="楷体"/>
          <w:bCs/>
          <w:sz w:val="32"/>
          <w:szCs w:val="32"/>
        </w:rPr>
        <w:t>2014年11月2</w:t>
      </w:r>
      <w:r>
        <w:rPr>
          <w:rFonts w:hint="eastAsia" w:ascii="楷体" w:hAnsi="楷体" w:eastAsia="楷体" w:cs="楷体"/>
          <w:bCs/>
          <w:sz w:val="32"/>
          <w:szCs w:val="32"/>
          <w:lang w:val="en-US" w:eastAsia="zh-CN"/>
        </w:rPr>
        <w:t>7</w:t>
      </w:r>
      <w:r>
        <w:rPr>
          <w:rFonts w:hint="eastAsia" w:ascii="楷体" w:hAnsi="楷体" w:eastAsia="楷体" w:cs="楷体"/>
          <w:bCs/>
          <w:sz w:val="32"/>
          <w:szCs w:val="32"/>
        </w:rPr>
        <w:t>日</w:t>
      </w:r>
    </w:p>
    <w:p>
      <w:pPr>
        <w:keepNext w:val="0"/>
        <w:keepLines w:val="0"/>
        <w:pageBreakBefore w:val="0"/>
        <w:widowControl w:val="0"/>
        <w:kinsoku/>
        <w:wordWrap/>
        <w:overflowPunct/>
        <w:topLinePunct w:val="0"/>
        <w:autoSpaceDE/>
        <w:autoSpaceDN/>
        <w:bidi w:val="0"/>
        <w:adjustRightInd/>
        <w:snapToGrid/>
        <w:spacing w:before="312" w:beforeLines="10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来，我馆认真落实2014年工作要点，结合图书馆工作实际，有计划、有步骤地开展工作，围绕“读者第一，服务至上”的宗旨，以改革创新为动力，以书香城市建设为主要抓手，以满足人民群众日益增长的阅读需求为出发点，增强图书馆综合实力。在上级领导的大力支持、关心下，经全体职工的共同努力，圆满完成了工作任务。我馆被中国图书馆学会授予“2013年全民阅读活动先进单位奖”，荣获江苏省第四届“服务农民、服务基层”先进集体称号、江苏文化厅“第六届公共图书馆优秀服务成果三等奖”，成功入选江苏省古籍收藏单位、</w:t>
      </w:r>
      <w:r>
        <w:rPr>
          <w:rFonts w:hint="eastAsia" w:ascii="仿宋_GB2312" w:hAnsi="仿宋_GB2312" w:eastAsia="仿宋_GB2312" w:cs="仿宋_GB2312"/>
          <w:sz w:val="32"/>
          <w:szCs w:val="32"/>
          <w:lang w:eastAsia="zh-CN"/>
        </w:rPr>
        <w:t>江苏省科普教育基地、</w:t>
      </w:r>
      <w:r>
        <w:rPr>
          <w:rFonts w:hint="eastAsia" w:ascii="仿宋_GB2312" w:hAnsi="仿宋_GB2312" w:eastAsia="仿宋_GB2312" w:cs="仿宋_GB2312"/>
          <w:sz w:val="32"/>
          <w:szCs w:val="32"/>
        </w:rPr>
        <w:t>如皋市“无烟单位”，开展的“爱心图书村小漂流”活动被评为“如皋市全民阅读十佳品牌”，得到社会各界的广泛好评。</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一、“四化改革”显成效，全面学习，蓄积软实力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今年，我馆继续把提高全馆工作人员的综合素质、优化服务环境、提高服务水平作为全馆建设的基础工程。为了协调配合做好我市少年儿童图书馆各功能室的</w:t>
      </w:r>
      <w:r>
        <w:rPr>
          <w:rFonts w:hint="eastAsia" w:ascii="仿宋_GB2312" w:hAnsi="仿宋_GB2312" w:eastAsia="仿宋_GB2312" w:cs="仿宋_GB2312"/>
          <w:sz w:val="32"/>
          <w:szCs w:val="32"/>
          <w:lang w:eastAsia="zh-CN"/>
        </w:rPr>
        <w:t>正式</w:t>
      </w:r>
      <w:r>
        <w:rPr>
          <w:rFonts w:hint="eastAsia" w:ascii="仿宋_GB2312" w:hAnsi="仿宋_GB2312" w:eastAsia="仿宋_GB2312" w:cs="仿宋_GB2312"/>
          <w:sz w:val="32"/>
          <w:szCs w:val="32"/>
        </w:rPr>
        <w:t>对外</w:t>
      </w:r>
      <w:r>
        <w:rPr>
          <w:rFonts w:hint="eastAsia" w:ascii="仿宋_GB2312" w:hAnsi="仿宋_GB2312" w:eastAsia="仿宋_GB2312" w:cs="仿宋_GB2312"/>
          <w:sz w:val="32"/>
          <w:szCs w:val="32"/>
          <w:lang w:eastAsia="zh-CN"/>
        </w:rPr>
        <w:t>开放</w:t>
      </w:r>
      <w:r>
        <w:rPr>
          <w:rFonts w:hint="eastAsia" w:ascii="仿宋_GB2312" w:hAnsi="仿宋_GB2312" w:eastAsia="仿宋_GB2312" w:cs="仿宋_GB2312"/>
          <w:sz w:val="32"/>
          <w:szCs w:val="32"/>
        </w:rPr>
        <w:t>，我馆人员</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了较大幅度调整，陆续招聘了“191”人员和社会用工。面对新的</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、新的要求，我馆针对今年的艰巨任务，制定了一系列的保障措施。</w:t>
      </w:r>
      <w:r>
        <w:rPr>
          <w:rFonts w:hint="eastAsia" w:ascii="仿宋_GB2312" w:hAnsi="仿宋_GB2312" w:eastAsia="仿宋_GB2312" w:cs="仿宋_GB2312"/>
          <w:b w:val="0"/>
          <w:bCs w:val="0"/>
          <w:sz w:val="32"/>
          <w:szCs w:val="32"/>
        </w:rPr>
        <w:t>一是定岗定人</w:t>
      </w:r>
      <w:r>
        <w:rPr>
          <w:rFonts w:hint="eastAsia" w:ascii="仿宋_GB2312" w:hAnsi="仿宋_GB2312" w:eastAsia="仿宋_GB2312" w:cs="仿宋_GB2312"/>
          <w:b w:val="0"/>
          <w:bCs w:val="0"/>
          <w:sz w:val="32"/>
          <w:szCs w:val="32"/>
          <w:lang w:eastAsia="zh-CN"/>
        </w:rPr>
        <w:t>定责</w:t>
      </w:r>
      <w:r>
        <w:rPr>
          <w:rFonts w:hint="eastAsia" w:ascii="仿宋_GB2312" w:hAnsi="仿宋_GB2312" w:eastAsia="仿宋_GB2312" w:cs="仿宋_GB2312"/>
          <w:b w:val="0"/>
          <w:bCs w:val="0"/>
          <w:sz w:val="32"/>
          <w:szCs w:val="32"/>
        </w:rPr>
        <w:t>，合理分配，组织工作到位。</w:t>
      </w:r>
      <w:r>
        <w:rPr>
          <w:rFonts w:hint="eastAsia" w:ascii="仿宋_GB2312" w:hAnsi="仿宋_GB2312" w:eastAsia="仿宋_GB2312" w:cs="仿宋_GB2312"/>
          <w:sz w:val="32"/>
          <w:szCs w:val="32"/>
        </w:rPr>
        <w:t>地方文献室、参考咨询室等相继</w:t>
      </w:r>
      <w:r>
        <w:rPr>
          <w:rFonts w:hint="eastAsia" w:ascii="仿宋_GB2312" w:hAnsi="仿宋_GB2312" w:eastAsia="仿宋_GB2312" w:cs="仿宋_GB2312"/>
          <w:sz w:val="32"/>
          <w:szCs w:val="32"/>
          <w:lang w:eastAsia="zh-CN"/>
        </w:rPr>
        <w:t>正常</w:t>
      </w:r>
      <w:r>
        <w:rPr>
          <w:rFonts w:hint="eastAsia" w:ascii="仿宋_GB2312" w:hAnsi="仿宋_GB2312" w:eastAsia="仿宋_GB2312" w:cs="仿宋_GB2312"/>
          <w:sz w:val="32"/>
          <w:szCs w:val="32"/>
        </w:rPr>
        <w:t>对外开放，信息资源共享工程播放室坚持每天免费</w:t>
      </w:r>
      <w:r>
        <w:rPr>
          <w:rFonts w:hint="eastAsia" w:ascii="仿宋_GB2312" w:hAnsi="仿宋_GB2312" w:eastAsia="仿宋_GB2312" w:cs="仿宋_GB2312"/>
          <w:sz w:val="32"/>
          <w:szCs w:val="32"/>
          <w:lang w:eastAsia="zh-CN"/>
        </w:rPr>
        <w:t>播放视频资源</w:t>
      </w:r>
      <w:r>
        <w:rPr>
          <w:rFonts w:hint="eastAsia" w:ascii="仿宋_GB2312" w:hAnsi="仿宋_GB2312" w:eastAsia="仿宋_GB2312" w:cs="仿宋_GB2312"/>
          <w:sz w:val="32"/>
          <w:szCs w:val="32"/>
        </w:rPr>
        <w:t>，使馆藏资源充分发挥作用。4月初，我们克服人员紧张困难，增加中午免费对外开放时间，</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每天免费对外开放</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9小时，为读者借阅提供便利。此外，按照“四化改革”要求，我们对馆内37人进行岗位调整，根据各人的特长结合馆内实际划分到15个岗位中（网格）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同时并制订各自的工作职责及全年工作目标，将任务落实到岗到人，确保“人人有责任，人人有事做”。</w:t>
      </w:r>
      <w:r>
        <w:rPr>
          <w:rFonts w:hint="eastAsia" w:ascii="仿宋_GB2312" w:hAnsi="仿宋_GB2312" w:eastAsia="仿宋_GB2312" w:cs="仿宋_GB2312"/>
          <w:b w:val="0"/>
          <w:bCs w:val="0"/>
          <w:sz w:val="32"/>
          <w:szCs w:val="32"/>
        </w:rPr>
        <w:t>二是整顿馆风，知人善任，强化服务意识。</w:t>
      </w:r>
      <w:r>
        <w:rPr>
          <w:rFonts w:hint="eastAsia" w:ascii="仿宋_GB2312" w:hAnsi="仿宋_GB2312" w:eastAsia="仿宋_GB2312" w:cs="仿宋_GB2312"/>
          <w:sz w:val="32"/>
          <w:szCs w:val="32"/>
        </w:rPr>
        <w:t>沿袭我馆“风正人和”传统，按照具备“事业心、责任心、热心、耐心”的四心要求，以及“主动、热情、耐心、周到”的八字服务方针，严格整顿馆风馆纪。为提升服务质量，</w:t>
      </w:r>
      <w:r>
        <w:rPr>
          <w:rFonts w:hint="eastAsia" w:ascii="仿宋_GB2312" w:hAnsi="仿宋_GB2312" w:eastAsia="仿宋_GB2312" w:cs="仿宋_GB2312"/>
          <w:sz w:val="32"/>
          <w:szCs w:val="32"/>
          <w:lang w:val="en-US" w:eastAsia="zh-CN"/>
        </w:rPr>
        <w:t>11月份，</w:t>
      </w:r>
      <w:r>
        <w:rPr>
          <w:rFonts w:hint="eastAsia" w:ascii="仿宋_GB2312" w:hAnsi="仿宋_GB2312" w:eastAsia="仿宋_GB2312" w:cs="仿宋_GB2312"/>
          <w:sz w:val="32"/>
          <w:szCs w:val="32"/>
        </w:rPr>
        <w:t>我们对岗位人员设置</w:t>
      </w:r>
      <w:r>
        <w:rPr>
          <w:rFonts w:hint="eastAsia" w:ascii="仿宋_GB2312" w:hAnsi="仿宋_GB2312" w:eastAsia="仿宋_GB2312" w:cs="仿宋_GB2312"/>
          <w:sz w:val="32"/>
          <w:szCs w:val="32"/>
          <w:lang w:eastAsia="zh-CN"/>
        </w:rPr>
        <w:t>又作</w:t>
      </w:r>
      <w:r>
        <w:rPr>
          <w:rFonts w:hint="eastAsia" w:ascii="仿宋_GB2312" w:hAnsi="仿宋_GB2312" w:eastAsia="仿宋_GB2312" w:cs="仿宋_GB2312"/>
          <w:sz w:val="32"/>
          <w:szCs w:val="32"/>
        </w:rPr>
        <w:t>了较大调整。其中，少儿借阅室和成人借阅室合并为借阅部，由一位负责人统一管理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注重培养年轻人才队伍，为真正有本事的人搭建发挥才能的平台。</w:t>
      </w:r>
      <w:r>
        <w:rPr>
          <w:rFonts w:hint="eastAsia" w:ascii="仿宋_GB2312" w:hAnsi="仿宋_GB2312" w:eastAsia="仿宋_GB2312" w:cs="仿宋_GB2312"/>
          <w:b w:val="0"/>
          <w:bCs w:val="0"/>
          <w:sz w:val="32"/>
          <w:szCs w:val="32"/>
        </w:rPr>
        <w:t>三是深入开展党的群众路线教育实践活动。</w:t>
      </w:r>
      <w:r>
        <w:rPr>
          <w:rFonts w:hint="eastAsia" w:ascii="仿宋_GB2312" w:hAnsi="仿宋_GB2312" w:eastAsia="仿宋_GB2312" w:cs="仿宋_GB2312"/>
          <w:sz w:val="32"/>
          <w:szCs w:val="32"/>
        </w:rPr>
        <w:t>认真组织开展每周三的例会学习，组织全馆人员认真研读《每月荐读》，并结合图书馆工作，思考并撰写读后感；参加安全生产、全国职业病防治、“我学习、我践行”社会主义核心价值观等知识竞赛；组织全体人员观看《大无大有——身边人眼中的周恩来》、《刘荣贵》、《廉政中国》系列等党的群众路线教育实践教材影片，引导全体员工牢固树立为民服务意识；开展职工座谈会，就如何更好地提高图书馆的服务质量等问题进行讨论、建言献策。</w:t>
      </w:r>
      <w:r>
        <w:rPr>
          <w:rFonts w:hint="eastAsia" w:ascii="仿宋_GB2312" w:hAnsi="仿宋_GB2312" w:eastAsia="仿宋_GB2312" w:cs="仿宋_GB2312"/>
          <w:b w:val="0"/>
          <w:bCs w:val="0"/>
          <w:sz w:val="32"/>
          <w:szCs w:val="32"/>
        </w:rPr>
        <w:t>四是加强业务理论研究。</w:t>
      </w:r>
      <w:r>
        <w:rPr>
          <w:rFonts w:hint="eastAsia" w:ascii="仿宋_GB2312" w:hAnsi="仿宋_GB2312" w:eastAsia="仿宋_GB2312" w:cs="仿宋_GB2312"/>
          <w:sz w:val="32"/>
          <w:szCs w:val="32"/>
        </w:rPr>
        <w:t>积极思考图书馆现代化管理建设，针对如何开展图书馆服务方面工作研究。联系工作实践撰写的业务论文参加2014年中国图书馆学会年会征文，获得二等奖1篇；参加川、吉、苏、冀、桂五省（区）图书馆学会第十四届学术研讨会，获得三等奖1篇。</w:t>
      </w:r>
      <w:r>
        <w:rPr>
          <w:rFonts w:hint="eastAsia" w:ascii="仿宋_GB2312" w:hAnsi="仿宋_GB2312" w:eastAsia="仿宋_GB2312" w:cs="仿宋_GB2312"/>
          <w:b w:val="0"/>
          <w:bCs w:val="0"/>
          <w:sz w:val="32"/>
          <w:szCs w:val="32"/>
        </w:rPr>
        <w:t>五是组织开展安全教育。</w:t>
      </w:r>
      <w:r>
        <w:rPr>
          <w:rFonts w:hint="eastAsia" w:ascii="仿宋_GB2312" w:hAnsi="仿宋_GB2312" w:eastAsia="仿宋_GB2312" w:cs="仿宋_GB2312"/>
          <w:sz w:val="32"/>
          <w:szCs w:val="32"/>
        </w:rPr>
        <w:t>图书馆是消防安全重点单位，在增强业务能力的同时必须加强馆员的防火意识，坚持“预防为主、防治结合、加强教育、群防群治”的方针，在每周三例会中共同学习，通过开展安全培训和实地演练，切实保障读者生命安全和财产不受损失，维护图书馆的正常秩序。</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二、业务发展创一流，真抓实干，推进现代化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来，我馆坚持以新馆工作的完善落实为事业发展的突破口，以加快图书馆现代化建设为总抓手，以不断满足市民日益增长的精神文化需求为根本目标，抢占机遇，开拓创新，努力实现从传统图书馆向现代化图书馆的全面转型。</w:t>
      </w:r>
      <w:r>
        <w:rPr>
          <w:rFonts w:hint="eastAsia" w:ascii="仿宋_GB2312" w:hAnsi="仿宋_GB2312" w:eastAsia="仿宋_GB2312" w:cs="仿宋_GB2312"/>
          <w:b w:val="0"/>
          <w:bCs w:val="0"/>
          <w:sz w:val="32"/>
          <w:szCs w:val="32"/>
        </w:rPr>
        <w:t>一是龙头作用带动书香创建，图书资源共建共享。</w:t>
      </w:r>
      <w:r>
        <w:rPr>
          <w:rFonts w:hint="eastAsia" w:ascii="仿宋_GB2312" w:hAnsi="仿宋_GB2312" w:eastAsia="仿宋_GB2312" w:cs="仿宋_GB2312"/>
          <w:sz w:val="32"/>
          <w:szCs w:val="32"/>
        </w:rPr>
        <w:t>今年，图书馆实现了对我市14个镇分馆建设统一标识、统一管理、统一平台，同时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村级农家书屋</w:t>
      </w:r>
      <w:r>
        <w:rPr>
          <w:rFonts w:hint="eastAsia" w:ascii="仿宋_GB2312" w:hAnsi="仿宋_GB2312" w:eastAsia="仿宋_GB2312" w:cs="仿宋_GB2312"/>
          <w:sz w:val="32"/>
          <w:szCs w:val="32"/>
          <w:lang w:eastAsia="zh-CN"/>
        </w:rPr>
        <w:t>为基层点</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60%的</w:t>
      </w:r>
      <w:r>
        <w:rPr>
          <w:rFonts w:hint="eastAsia" w:ascii="仿宋_GB2312" w:hAnsi="仿宋_GB2312" w:eastAsia="仿宋_GB2312" w:cs="仿宋_GB2312"/>
          <w:sz w:val="32"/>
          <w:szCs w:val="32"/>
        </w:rPr>
        <w:t>村纳入服务网络，安装图书管理软件，并对村级图书管理员进行定期业务辅导，实现业务统一管理和一体化服务。</w:t>
      </w:r>
      <w:r>
        <w:rPr>
          <w:rFonts w:hint="eastAsia" w:ascii="仿宋_GB2312" w:hAnsi="仿宋_GB2312" w:eastAsia="仿宋_GB2312" w:cs="仿宋_GB2312"/>
          <w:b w:val="0"/>
          <w:bCs w:val="0"/>
          <w:sz w:val="32"/>
          <w:szCs w:val="32"/>
        </w:rPr>
        <w:t>二是服务大局争创一流目标，集思广益群策群力。</w:t>
      </w:r>
      <w:r>
        <w:rPr>
          <w:rFonts w:hint="eastAsia" w:ascii="仿宋_GB2312" w:hAnsi="仿宋_GB2312" w:eastAsia="仿宋_GB2312" w:cs="仿宋_GB2312"/>
          <w:sz w:val="32"/>
          <w:szCs w:val="32"/>
        </w:rPr>
        <w:t>内强素质，外塑形象，在图书馆转型攻坚的关键时期，我馆主动作为，以责任和大局共擎图书馆发展大旗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在沿用以往申报工作经验的基础上，立足实际，严格对照要求，逐条整理</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成功申报中国图书馆学会“2013年全民阅读活动先进单位奖”、江苏文化厅“第六届公共图书馆优秀服务成果”三等奖、江苏省古籍收藏单位。目前“全国科普教育基地”、江苏省“文明图书馆”已完成申报工作，等待</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审查。</w:t>
      </w:r>
      <w:r>
        <w:rPr>
          <w:rFonts w:hint="eastAsia" w:ascii="仿宋_GB2312" w:hAnsi="仿宋_GB2312" w:eastAsia="仿宋_GB2312" w:cs="仿宋_GB2312"/>
          <w:b w:val="0"/>
          <w:bCs w:val="0"/>
          <w:sz w:val="32"/>
          <w:szCs w:val="32"/>
        </w:rPr>
        <w:t>三是科学安排布局馆藏资源，纸质数字并行并举。</w:t>
      </w:r>
      <w:r>
        <w:rPr>
          <w:rFonts w:hint="eastAsia" w:ascii="仿宋_GB2312" w:hAnsi="仿宋_GB2312" w:eastAsia="仿宋_GB2312" w:cs="仿宋_GB2312"/>
          <w:sz w:val="32"/>
          <w:szCs w:val="32"/>
        </w:rPr>
        <w:t>组织开展全国古籍普查登记工作，共整理出相对完好的古籍普查数据2千多条目，2万7千余册。今年，</w:t>
      </w:r>
      <w:r>
        <w:rPr>
          <w:rFonts w:hint="eastAsia" w:ascii="仿宋_GB2312" w:hAnsi="仿宋_GB2312" w:eastAsia="仿宋_GB2312" w:cs="仿宋_GB2312"/>
          <w:sz w:val="32"/>
          <w:szCs w:val="32"/>
          <w:lang w:eastAsia="zh-CN"/>
        </w:rPr>
        <w:t>又</w:t>
      </w:r>
      <w:r>
        <w:rPr>
          <w:rFonts w:hint="eastAsia" w:ascii="仿宋_GB2312" w:hAnsi="仿宋_GB2312" w:eastAsia="仿宋_GB2312" w:cs="仿宋_GB2312"/>
          <w:sz w:val="32"/>
          <w:szCs w:val="32"/>
        </w:rPr>
        <w:t>成功入选为“江苏省古籍收藏单位”。推动数字资源建设。</w:t>
      </w:r>
      <w:r>
        <w:rPr>
          <w:rFonts w:hint="eastAsia" w:ascii="仿宋_GB2312" w:hAnsi="仿宋_GB2312" w:eastAsia="仿宋_GB2312" w:cs="仿宋_GB2312"/>
          <w:sz w:val="32"/>
          <w:szCs w:val="32"/>
          <w:lang w:eastAsia="zh-CN"/>
        </w:rPr>
        <w:t>采购大众图创</w:t>
      </w:r>
      <w:r>
        <w:rPr>
          <w:rFonts w:hint="eastAsia" w:ascii="仿宋_GB2312" w:hAnsi="仿宋_GB2312" w:eastAsia="仿宋_GB2312" w:cs="仿宋_GB2312"/>
          <w:sz w:val="32"/>
          <w:szCs w:val="32"/>
        </w:rPr>
        <w:t>电子连环画</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000册少儿数据资源，</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上业公司的</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数据库资源，进一步丰富了馆藏数据库资源，推动了我馆向数字化图书馆的转型</w:t>
      </w:r>
      <w:r>
        <w:rPr>
          <w:rFonts w:hint="eastAsia" w:ascii="仿宋_GB2312" w:hAnsi="仿宋_GB2312" w:eastAsia="仿宋_GB2312" w:cs="仿宋_GB2312"/>
          <w:sz w:val="32"/>
          <w:szCs w:val="32"/>
          <w:lang w:eastAsia="zh-CN"/>
        </w:rPr>
        <w:t>。同时通过积极的努力，争取到南通市图书馆和本地区其他县市馆的数字资源共建共享，极大的满足广大读者的阅读需求。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643" w:firstLineChars="200"/>
        <w:jc w:val="both"/>
        <w:textAlignment w:val="auto"/>
        <w:outlineLvl w:val="9"/>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rPr>
        <w:t>三、强化品牌拓渠道，凝练特色，扩大影响力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牌服务对于公共图书馆，特别是对国家一级图书馆来说显得尤为重要和迫切。今年以来，我馆不断创新服务形式和手段，提高服务水平，把现有资源利用好，结合我市读者实际，深入基层、关注未成年人健康成长、爱心温暖特殊群体，全年送书</w:t>
      </w:r>
      <w:r>
        <w:rPr>
          <w:rFonts w:hint="eastAsia" w:ascii="仿宋_GB2312" w:hAnsi="仿宋_GB2312" w:eastAsia="仿宋_GB2312" w:cs="仿宋_GB2312"/>
          <w:sz w:val="32"/>
          <w:szCs w:val="32"/>
          <w:lang w:val="en-US" w:eastAsia="zh-CN"/>
        </w:rPr>
        <w:t>2.6914</w:t>
      </w:r>
      <w:r>
        <w:rPr>
          <w:rFonts w:hint="eastAsia" w:ascii="仿宋_GB2312" w:hAnsi="仿宋_GB2312" w:eastAsia="仿宋_GB2312" w:cs="仿宋_GB2312"/>
          <w:sz w:val="32"/>
          <w:szCs w:val="32"/>
        </w:rPr>
        <w:t>万册，让广大人民群众充分享受文化成果，从广度和深度上最大限度地满足更广大群众的精神文化需求</w:t>
      </w:r>
      <w:r>
        <w:rPr>
          <w:rFonts w:hint="eastAsia" w:ascii="仿宋_GB2312" w:hAnsi="仿宋_GB2312" w:eastAsia="仿宋_GB2312" w:cs="仿宋_GB2312"/>
          <w:b w:val="0"/>
          <w:bCs w:val="0"/>
          <w:sz w:val="32"/>
          <w:szCs w:val="32"/>
        </w:rPr>
        <w:t>。一是图书服务零距离，书香栽种家门前。</w:t>
      </w:r>
      <w:r>
        <w:rPr>
          <w:rFonts w:hint="eastAsia" w:ascii="仿宋_GB2312" w:hAnsi="仿宋_GB2312" w:eastAsia="仿宋_GB2312" w:cs="仿宋_GB2312"/>
          <w:sz w:val="32"/>
          <w:szCs w:val="32"/>
        </w:rPr>
        <w:t>开展了“迷你图书馆”进社区活动。我馆精心挑选文学、健康、百科等方面的优秀读物150余册，定期于每周二、四在蒲行、孔庙、长巷等</w:t>
      </w:r>
      <w:r>
        <w:rPr>
          <w:rFonts w:hint="eastAsia" w:ascii="仿宋_GB2312" w:hAnsi="仿宋_GB2312" w:eastAsia="仿宋_GB2312" w:cs="仿宋_GB2312"/>
          <w:sz w:val="32"/>
          <w:szCs w:val="32"/>
          <w:lang w:eastAsia="zh-CN"/>
        </w:rPr>
        <w:t>如城街道</w:t>
      </w:r>
      <w:r>
        <w:rPr>
          <w:rFonts w:hint="eastAsia" w:ascii="仿宋_GB2312" w:hAnsi="仿宋_GB2312" w:eastAsia="仿宋_GB2312" w:cs="仿宋_GB2312"/>
          <w:sz w:val="32"/>
          <w:szCs w:val="32"/>
        </w:rPr>
        <w:t>社区展开，通过设立在社区门前的宣传咨询台，现场解答人们提出的各种图书借阅方面问题，引导广大读者全面了解区图书馆免费开放的具体情况，</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进行免费办证、图书借阅、新书推荐等活动，在让更多的老百姓享受到免费文化服务的同时，鼓励居民充分利用图书馆资源。截止目前，服务人数已近上万人次，市民反响热烈。</w:t>
      </w:r>
      <w:r>
        <w:rPr>
          <w:rFonts w:hint="eastAsia" w:ascii="仿宋_GB2312" w:hAnsi="仿宋_GB2312" w:eastAsia="仿宋_GB2312" w:cs="仿宋_GB2312"/>
          <w:b w:val="0"/>
          <w:bCs/>
          <w:sz w:val="32"/>
          <w:szCs w:val="32"/>
        </w:rPr>
        <w:t>二是图书漂流传温暖，梦想翻飞村小间。</w:t>
      </w:r>
      <w:r>
        <w:rPr>
          <w:rFonts w:hint="eastAsia" w:ascii="仿宋_GB2312" w:hAnsi="仿宋_GB2312" w:eastAsia="仿宋_GB2312" w:cs="仿宋_GB2312"/>
          <w:sz w:val="32"/>
          <w:szCs w:val="32"/>
        </w:rPr>
        <w:t>为加快图书漂流进程，深入推动全民阅读，今年我馆为何庄、刘岱、奚斜小学的孩子们精挑细选包括文学、科普、历史等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00余册少儿新书，并且将此归类分整到特别制作的</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只爱心图书漂流箱，方便村小学生及时</w:t>
      </w:r>
      <w:r>
        <w:rPr>
          <w:rFonts w:hint="eastAsia" w:ascii="仿宋_GB2312" w:hAnsi="仿宋_GB2312" w:eastAsia="仿宋_GB2312" w:cs="仿宋_GB2312"/>
          <w:sz w:val="32"/>
          <w:szCs w:val="32"/>
          <w:lang w:eastAsia="zh-CN"/>
        </w:rPr>
        <w:t>漂流</w:t>
      </w:r>
      <w:r>
        <w:rPr>
          <w:rFonts w:hint="eastAsia" w:ascii="仿宋_GB2312" w:hAnsi="仿宋_GB2312" w:eastAsia="仿宋_GB2312" w:cs="仿宋_GB2312"/>
          <w:sz w:val="32"/>
          <w:szCs w:val="32"/>
        </w:rPr>
        <w:t>更</w:t>
      </w:r>
      <w:r>
        <w:rPr>
          <w:rFonts w:hint="eastAsia" w:ascii="仿宋_GB2312" w:hAnsi="仿宋_GB2312" w:eastAsia="仿宋_GB2312" w:cs="仿宋_GB2312"/>
          <w:sz w:val="32"/>
          <w:szCs w:val="32"/>
          <w:lang w:eastAsia="zh-CN"/>
        </w:rPr>
        <w:t>换</w:t>
      </w:r>
      <w:r>
        <w:rPr>
          <w:rFonts w:hint="eastAsia" w:ascii="仿宋_GB2312" w:hAnsi="仿宋_GB2312" w:eastAsia="仿宋_GB2312" w:cs="仿宋_GB2312"/>
          <w:sz w:val="32"/>
          <w:szCs w:val="32"/>
        </w:rPr>
        <w:t>图书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有效地改善了我市农村孩子读书资源匮乏的现状，已有8000余名农村孩子</w:t>
      </w:r>
      <w:r>
        <w:rPr>
          <w:rFonts w:hint="eastAsia" w:ascii="仿宋_GB2312" w:hAnsi="仿宋_GB2312" w:eastAsia="仿宋_GB2312" w:cs="仿宋_GB2312"/>
          <w:sz w:val="32"/>
          <w:szCs w:val="32"/>
          <w:lang w:eastAsia="zh-CN"/>
        </w:rPr>
        <w:t>受益</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rPr>
        <w:t>三是网络技能新时代，夕阳方舟热情在。</w:t>
      </w:r>
      <w:r>
        <w:rPr>
          <w:rFonts w:hint="eastAsia" w:ascii="仿宋_GB2312" w:hAnsi="仿宋_GB2312" w:eastAsia="仿宋_GB2312" w:cs="仿宋_GB2312"/>
          <w:sz w:val="32"/>
          <w:szCs w:val="32"/>
        </w:rPr>
        <w:t>为提高老年人的生活水平，强化为老年人的服务意识，我馆积极创新服务形式，通过馆校对接、网络媒体等方式广泛宣传，开展老年人电脑免费培训班。邀请了有多年教学经验的专业指导老师，以及长期招募有计算机特长的志愿者，</w:t>
      </w:r>
      <w:r>
        <w:rPr>
          <w:rFonts w:hint="eastAsia" w:ascii="仿宋_GB2312" w:hAnsi="仿宋_GB2312" w:eastAsia="仿宋_GB2312" w:cs="仿宋_GB2312"/>
          <w:sz w:val="32"/>
          <w:szCs w:val="32"/>
          <w:lang w:eastAsia="zh-CN"/>
        </w:rPr>
        <w:t>于每周二、四下午，</w:t>
      </w:r>
      <w:r>
        <w:rPr>
          <w:rFonts w:hint="eastAsia" w:ascii="仿宋_GB2312" w:hAnsi="仿宋_GB2312" w:eastAsia="仿宋_GB2312" w:cs="仿宋_GB2312"/>
          <w:sz w:val="32"/>
          <w:szCs w:val="32"/>
        </w:rPr>
        <w:t>为老人们进行一对一、手把手式指导学员上机操作，目前已有近3000人次参与了培训。</w:t>
      </w:r>
      <w:r>
        <w:rPr>
          <w:rFonts w:hint="eastAsia" w:ascii="仿宋_GB2312" w:hAnsi="仿宋_GB2312" w:eastAsia="仿宋_GB2312" w:cs="仿宋_GB2312"/>
          <w:b w:val="0"/>
          <w:bCs/>
          <w:sz w:val="32"/>
          <w:szCs w:val="32"/>
        </w:rPr>
        <w:t>四是亲子同读圣贤书，智慧芬芳绽成长。</w:t>
      </w:r>
      <w:r>
        <w:rPr>
          <w:rFonts w:hint="eastAsia" w:ascii="仿宋_GB2312" w:hAnsi="仿宋_GB2312" w:eastAsia="仿宋_GB2312" w:cs="仿宋_GB2312"/>
          <w:sz w:val="32"/>
          <w:szCs w:val="32"/>
        </w:rPr>
        <w:t>为弘扬传统文化，传承国学经典，增进亲子关系，我馆</w:t>
      </w:r>
      <w:r>
        <w:rPr>
          <w:rFonts w:hint="eastAsia" w:ascii="仿宋_GB2312" w:hAnsi="仿宋_GB2312" w:eastAsia="仿宋_GB2312" w:cs="仿宋_GB2312"/>
          <w:sz w:val="32"/>
          <w:szCs w:val="32"/>
          <w:lang w:eastAsia="zh-CN"/>
        </w:rPr>
        <w:t>于每周日上午</w:t>
      </w:r>
      <w:r>
        <w:rPr>
          <w:rFonts w:hint="eastAsia" w:ascii="仿宋_GB2312" w:hAnsi="仿宋_GB2312" w:eastAsia="仿宋_GB2312" w:cs="仿宋_GB2312"/>
          <w:sz w:val="32"/>
          <w:szCs w:val="32"/>
        </w:rPr>
        <w:t>开</w:t>
      </w:r>
      <w:r>
        <w:rPr>
          <w:rFonts w:hint="eastAsia" w:ascii="仿宋_GB2312" w:hAnsi="仿宋_GB2312" w:eastAsia="仿宋_GB2312" w:cs="仿宋_GB2312"/>
          <w:sz w:val="32"/>
          <w:szCs w:val="32"/>
          <w:lang w:eastAsia="zh-CN"/>
        </w:rPr>
        <w:t>办了</w:t>
      </w:r>
      <w:r>
        <w:rPr>
          <w:rFonts w:hint="eastAsia" w:ascii="仿宋_GB2312" w:hAnsi="仿宋_GB2312" w:eastAsia="仿宋_GB2312" w:cs="仿宋_GB2312"/>
          <w:sz w:val="32"/>
          <w:szCs w:val="32"/>
        </w:rPr>
        <w:t>“亲子同读 修身立德”国学经典沙龙。邀请我市知名国学老师房珏担当国学课堂的授课老师，活动对象为二年级以上的小学生和家长，精心选用《全民阅读国学经典大字注音全本——&lt;尚雅&gt;国学经典书系》作为经典诵读教材，培养孩子认读大量文字，为学习奠定基础；以《幼学琼林》、《论语》、《大学》、《中庸》作为初学内容，培育孩子修身立德，提高人文素养；以亲子同读为方法，培养良好学习习惯，共创家庭书香氛围。开课至今，吸引了250名家长和学生的热烈参与。</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四、基础服务全开花，创新举措，发挥主阵地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为推动“全民阅读”活动更上一台阶，更进一步激发全市人民读书热情，让更多的老百姓能够利用图书馆，享受公共文化服务，我馆大力发挥在“全民阅读”活动中的主阵地作用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今年，我馆共采购图书</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万多册；订购期刊</w:t>
      </w:r>
      <w:r>
        <w:rPr>
          <w:rFonts w:hint="eastAsia" w:ascii="仿宋_GB2312" w:hAnsi="仿宋_GB2312" w:eastAsia="仿宋_GB2312" w:cs="仿宋_GB2312"/>
          <w:b w:val="0"/>
          <w:bCs w:val="0"/>
          <w:sz w:val="32"/>
          <w:szCs w:val="32"/>
          <w:lang w:val="en-US" w:eastAsia="zh-CN"/>
        </w:rPr>
        <w:t>420</w:t>
      </w:r>
      <w:r>
        <w:rPr>
          <w:rFonts w:hint="eastAsia" w:ascii="仿宋_GB2312" w:hAnsi="仿宋_GB2312" w:eastAsia="仿宋_GB2312" w:cs="仿宋_GB2312"/>
          <w:b w:val="0"/>
          <w:bCs w:val="0"/>
          <w:sz w:val="32"/>
          <w:szCs w:val="32"/>
        </w:rPr>
        <w:t>种；办理借书证</w:t>
      </w:r>
      <w:r>
        <w:rPr>
          <w:rFonts w:hint="eastAsia" w:ascii="仿宋_GB2312" w:hAnsi="仿宋_GB2312" w:eastAsia="仿宋_GB2312" w:cs="仿宋_GB2312"/>
          <w:b w:val="0"/>
          <w:bCs w:val="0"/>
          <w:sz w:val="32"/>
          <w:szCs w:val="32"/>
          <w:lang w:val="en-US" w:eastAsia="zh-CN"/>
        </w:rPr>
        <w:t>8千余</w:t>
      </w:r>
      <w:r>
        <w:rPr>
          <w:rFonts w:hint="eastAsia" w:ascii="仿宋_GB2312" w:hAnsi="仿宋_GB2312" w:eastAsia="仿宋_GB2312" w:cs="仿宋_GB2312"/>
          <w:b w:val="0"/>
          <w:bCs w:val="0"/>
          <w:sz w:val="32"/>
          <w:szCs w:val="32"/>
        </w:rPr>
        <w:t>份；接待读者</w:t>
      </w:r>
      <w:r>
        <w:rPr>
          <w:rFonts w:hint="eastAsia" w:ascii="仿宋_GB2312" w:hAnsi="仿宋_GB2312" w:eastAsia="仿宋_GB2312" w:cs="仿宋_GB2312"/>
          <w:b w:val="0"/>
          <w:bCs w:val="0"/>
          <w:sz w:val="32"/>
          <w:szCs w:val="32"/>
          <w:lang w:val="en-US" w:eastAsia="zh-CN"/>
        </w:rPr>
        <w:t>40.5</w:t>
      </w:r>
      <w:r>
        <w:rPr>
          <w:rFonts w:hint="eastAsia" w:ascii="仿宋_GB2312" w:hAnsi="仿宋_GB2312" w:eastAsia="仿宋_GB2312" w:cs="仿宋_GB2312"/>
          <w:b w:val="0"/>
          <w:bCs w:val="0"/>
          <w:sz w:val="32"/>
          <w:szCs w:val="32"/>
        </w:rPr>
        <w:t>万人次,外借图书</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万册次；编印《信息摘编》12期；办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读者园</w:t>
      </w:r>
      <w:r>
        <w:rPr>
          <w:rFonts w:hint="eastAsia" w:ascii="仿宋_GB2312" w:hAnsi="仿宋_GB2312" w:eastAsia="仿宋_GB2312" w:cs="仿宋_GB2312"/>
          <w:b w:val="0"/>
          <w:bCs w:val="0"/>
          <w:sz w:val="32"/>
          <w:szCs w:val="32"/>
          <w:lang w:eastAsia="zh-CN"/>
        </w:rPr>
        <w:t>地》</w:t>
      </w:r>
      <w:r>
        <w:rPr>
          <w:rFonts w:hint="eastAsia" w:ascii="仿宋_GB2312" w:hAnsi="仿宋_GB2312" w:eastAsia="仿宋_GB2312" w:cs="仿宋_GB2312"/>
          <w:b w:val="0"/>
          <w:bCs w:val="0"/>
          <w:sz w:val="32"/>
          <w:szCs w:val="32"/>
        </w:rPr>
        <w:t>18期；编印报刊导读365期；编印《书香信息》12期；举办各种活动</w:t>
      </w:r>
      <w:r>
        <w:rPr>
          <w:rFonts w:hint="eastAsia" w:ascii="仿宋_GB2312" w:hAnsi="仿宋_GB2312" w:eastAsia="仿宋_GB2312" w:cs="仿宋_GB2312"/>
          <w:b w:val="0"/>
          <w:bCs w:val="0"/>
          <w:sz w:val="32"/>
          <w:szCs w:val="32"/>
          <w:lang w:val="en-US" w:eastAsia="zh-CN"/>
        </w:rPr>
        <w:t>70余</w:t>
      </w:r>
      <w:r>
        <w:rPr>
          <w:rFonts w:hint="eastAsia" w:ascii="仿宋_GB2312" w:hAnsi="仿宋_GB2312" w:eastAsia="仿宋_GB2312" w:cs="仿宋_GB2312"/>
          <w:b w:val="0"/>
          <w:bCs w:val="0"/>
          <w:sz w:val="32"/>
          <w:szCs w:val="32"/>
        </w:rPr>
        <w:t>次。</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开展“缤纷的冬日”系列活动。</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2014年马年春节《中国传统年画大观》展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“少儿拼图”比赛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“大手拉小手·猜猜猜”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“骏马欢年 元宵迎春”猜谜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“童叟书新春”写春联送春联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“迎新春”经典电影回放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“新年办证有礼”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“书中寻找金钥匙”有奖知识竞赛</w:t>
      </w:r>
      <w:r>
        <w:rPr>
          <w:rFonts w:hint="eastAsia" w:ascii="仿宋_GB2312" w:hAnsi="仿宋_GB2312" w:eastAsia="仿宋_GB2312" w:cs="仿宋_GB2312"/>
          <w:sz w:val="32"/>
          <w:szCs w:val="32"/>
          <w:lang w:eastAsia="zh-CN"/>
        </w:rPr>
        <w:t>等活动，吸引读者近五千人次</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开展服务宣传周活动。</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“水浒”前20章回插图展</w:t>
      </w:r>
      <w:r>
        <w:rPr>
          <w:rFonts w:hint="eastAsia" w:ascii="仿宋_GB2312" w:hAnsi="仿宋_GB2312" w:eastAsia="仿宋_GB2312" w:cs="仿宋_GB2312"/>
          <w:sz w:val="32"/>
          <w:szCs w:val="32"/>
          <w:lang w:eastAsia="zh-CN"/>
        </w:rPr>
        <w:t>；开展读者</w:t>
      </w:r>
      <w:r>
        <w:rPr>
          <w:rFonts w:hint="eastAsia" w:ascii="仿宋_GB2312" w:hAnsi="仿宋_GB2312" w:eastAsia="仿宋_GB2312" w:cs="仿宋_GB2312"/>
          <w:sz w:val="32"/>
          <w:szCs w:val="32"/>
        </w:rPr>
        <w:t>新书荐读活动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开展免费电影放映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免费视频讲座活动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开展经典故事</w:t>
      </w:r>
      <w:r>
        <w:rPr>
          <w:rFonts w:hint="eastAsia" w:ascii="仿宋_GB2312" w:hAnsi="仿宋_GB2312" w:eastAsia="仿宋_GB2312" w:cs="仿宋_GB2312"/>
          <w:sz w:val="32"/>
          <w:szCs w:val="32"/>
          <w:lang w:eastAsia="zh-CN"/>
        </w:rPr>
        <w:t>幼儿</w:t>
      </w:r>
      <w:r>
        <w:rPr>
          <w:rFonts w:hint="eastAsia" w:ascii="仿宋_GB2312" w:hAnsi="仿宋_GB2312" w:eastAsia="仿宋_GB2312" w:cs="仿宋_GB2312"/>
          <w:sz w:val="32"/>
          <w:szCs w:val="32"/>
        </w:rPr>
        <w:t>绘本</w:t>
      </w:r>
      <w:r>
        <w:rPr>
          <w:rFonts w:hint="eastAsia" w:ascii="仿宋_GB2312" w:hAnsi="仿宋_GB2312" w:eastAsia="仿宋_GB2312" w:cs="仿宋_GB2312"/>
          <w:sz w:val="32"/>
          <w:szCs w:val="32"/>
          <w:lang w:eastAsia="zh-CN"/>
        </w:rPr>
        <w:t>荐读活动，</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推荐绘本</w:t>
      </w:r>
      <w:r>
        <w:rPr>
          <w:rFonts w:hint="eastAsia" w:ascii="仿宋_GB2312" w:hAnsi="仿宋_GB2312" w:eastAsia="仿宋_GB2312" w:cs="仿宋_GB2312"/>
          <w:sz w:val="32"/>
          <w:szCs w:val="32"/>
        </w:rPr>
        <w:t>140</w:t>
      </w:r>
      <w:r>
        <w:rPr>
          <w:rFonts w:hint="eastAsia" w:ascii="仿宋_GB2312" w:hAnsi="仿宋_GB2312" w:eastAsia="仿宋_GB2312" w:cs="仿宋_GB2312"/>
          <w:sz w:val="32"/>
          <w:szCs w:val="32"/>
          <w:lang w:eastAsia="zh-CN"/>
        </w:rPr>
        <w:t>册</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三是“七彩的夏日”系列活动。</w:t>
      </w:r>
      <w:r>
        <w:rPr>
          <w:rFonts w:hint="eastAsia" w:ascii="仿宋_GB2312" w:hAnsi="仿宋_GB2312" w:eastAsia="仿宋_GB2312" w:cs="仿宋_GB2312"/>
          <w:sz w:val="32"/>
          <w:szCs w:val="32"/>
          <w:lang w:eastAsia="zh-CN"/>
        </w:rPr>
        <w:t>第二届“未来金话筒”主持（朗诵）新秀赛小学低幼组如皋分赛区初赛复赛成功举行；开展暑期出行安全知识培训活动，近30多名父母及孩子参与培训；牵手市妇联，联合举办了“爱心助孤”、“爱心护蕾”阅读活动，我馆为84名受捐助的孤儿免费发放共计336册图书，84张借书证，极大丰富了他们的暑期生活；举办“快乐剧院——儿童电影展播”、“我是图书馆小义工”、礼仪大讲堂以及东皋故事会，多彩的活动受到许多家长和孩子们的喜爱。</w:t>
      </w:r>
      <w:r>
        <w:rPr>
          <w:rFonts w:hint="eastAsia" w:ascii="仿宋_GB2312" w:hAnsi="仿宋_GB2312" w:eastAsia="仿宋_GB2312" w:cs="仿宋_GB2312"/>
          <w:b w:val="0"/>
          <w:bCs w:val="0"/>
          <w:sz w:val="32"/>
          <w:szCs w:val="32"/>
          <w:lang w:eastAsia="zh-CN"/>
        </w:rPr>
        <w:t>四是阅读推广系列活动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开展“莲香书风润皋城”系列活动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精心挑选了210册廉政书籍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免费赠送给全市各镇（区、街道）、市级机关</w:t>
      </w:r>
      <w:r>
        <w:rPr>
          <w:rFonts w:hint="eastAsia" w:ascii="仿宋_GB2312" w:hAnsi="仿宋_GB2312" w:eastAsia="仿宋_GB2312" w:cs="仿宋_GB2312"/>
          <w:sz w:val="32"/>
          <w:szCs w:val="32"/>
          <w:lang w:eastAsia="zh-CN"/>
        </w:rPr>
        <w:t>等有关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开展以优秀廉政为主题、主旋律的免费电影放映活动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开展“书香如皋·摄影沙龙”系列活动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通过举办摄影图片展、摄影培训班、摄影交流会等形式</w:t>
      </w:r>
      <w:r>
        <w:rPr>
          <w:rFonts w:hint="eastAsia" w:ascii="仿宋_GB2312" w:hAnsi="仿宋_GB2312" w:eastAsia="仿宋_GB2312" w:cs="仿宋_GB2312"/>
          <w:sz w:val="32"/>
          <w:szCs w:val="32"/>
          <w:lang w:eastAsia="zh-CN"/>
        </w:rPr>
        <w:t>展现；</w:t>
      </w:r>
      <w:r>
        <w:rPr>
          <w:rFonts w:hint="eastAsia" w:ascii="仿宋_GB2312" w:hAnsi="仿宋_GB2312" w:eastAsia="仿宋_GB2312" w:cs="仿宋_GB2312"/>
          <w:sz w:val="32"/>
          <w:szCs w:val="32"/>
        </w:rPr>
        <w:t>开展“亲近阅读，点燃梦想”征文活动</w:t>
      </w:r>
      <w:r>
        <w:rPr>
          <w:rFonts w:hint="eastAsia" w:ascii="仿宋_GB2312" w:hAnsi="仿宋_GB2312" w:eastAsia="仿宋_GB2312" w:cs="仿宋_GB2312"/>
          <w:sz w:val="32"/>
          <w:szCs w:val="32"/>
          <w:lang w:eastAsia="zh-CN"/>
        </w:rPr>
        <w:t>，获得南通市三等奖</w:t>
      </w:r>
      <w:r>
        <w:rPr>
          <w:rFonts w:hint="eastAsia" w:ascii="仿宋_GB2312" w:hAnsi="仿宋_GB2312" w:eastAsia="仿宋_GB2312" w:cs="仿宋_GB2312"/>
          <w:sz w:val="32"/>
          <w:szCs w:val="32"/>
          <w:lang w:val="en-US" w:eastAsia="zh-CN"/>
        </w:rPr>
        <w:t>3篇；</w:t>
      </w:r>
      <w:r>
        <w:rPr>
          <w:rFonts w:hint="eastAsia" w:ascii="仿宋_GB2312" w:hAnsi="仿宋_GB2312" w:eastAsia="仿宋_GB2312" w:cs="仿宋_GB2312"/>
          <w:sz w:val="32"/>
          <w:szCs w:val="32"/>
        </w:rPr>
        <w:t>举办老年人命题书法评比活动</w:t>
      </w:r>
      <w:r>
        <w:rPr>
          <w:rFonts w:hint="eastAsia" w:ascii="仿宋_GB2312" w:hAnsi="仿宋_GB2312" w:eastAsia="仿宋_GB2312" w:cs="仿宋_GB2312"/>
          <w:sz w:val="32"/>
          <w:szCs w:val="32"/>
          <w:lang w:eastAsia="zh-CN"/>
        </w:rPr>
        <w:t>；开展“全民阅读”知识竞赛，全市</w:t>
      </w:r>
      <w:r>
        <w:rPr>
          <w:rFonts w:hint="eastAsia" w:ascii="仿宋_GB2312" w:hAnsi="仿宋_GB2312" w:eastAsia="仿宋_GB2312" w:cs="仿宋_GB2312"/>
          <w:sz w:val="32"/>
          <w:szCs w:val="32"/>
          <w:lang w:val="en-US" w:eastAsia="zh-CN"/>
        </w:rPr>
        <w:t>14个镇分为初中组、小学组进行，通过亲子互动、家庭总动员的形式，引导广大市民积极参与全民阅读，进一步激发读书热情；开展“你来比划我来猜”猜词活动，26组参赛家庭感受亲子乐趣；开展馆藏珍贵古籍图片展、春季传染病预防有奖知识竞答、少儿航空绘画比赛等活动；</w:t>
      </w:r>
      <w:r>
        <w:rPr>
          <w:rFonts w:hint="eastAsia" w:ascii="仿宋_GB2312" w:hAnsi="仿宋_GB2312" w:eastAsia="仿宋_GB2312" w:cs="仿宋_GB2312"/>
          <w:sz w:val="32"/>
          <w:szCs w:val="32"/>
        </w:rPr>
        <w:t>开展“你点书，我买单”活动</w:t>
      </w:r>
      <w:r>
        <w:rPr>
          <w:rFonts w:hint="eastAsia" w:ascii="仿宋_GB2312" w:hAnsi="仿宋_GB2312" w:eastAsia="仿宋_GB2312" w:cs="仿宋_GB2312"/>
          <w:sz w:val="32"/>
          <w:szCs w:val="32"/>
          <w:lang w:eastAsia="zh-CN"/>
        </w:rPr>
        <w:t>，全年共有</w:t>
      </w:r>
      <w:r>
        <w:rPr>
          <w:rFonts w:hint="eastAsia" w:ascii="仿宋_GB2312" w:hAnsi="仿宋_GB2312" w:eastAsia="仿宋_GB2312" w:cs="仿宋_GB2312"/>
          <w:sz w:val="32"/>
          <w:szCs w:val="32"/>
          <w:lang w:val="en-US" w:eastAsia="zh-CN"/>
        </w:rPr>
        <w:t>220名读者</w:t>
      </w:r>
      <w:r>
        <w:rPr>
          <w:rFonts w:hint="eastAsia" w:ascii="仿宋_GB2312" w:hAnsi="仿宋_GB2312" w:eastAsia="仿宋_GB2312" w:cs="仿宋_GB2312"/>
          <w:sz w:val="32"/>
          <w:szCs w:val="32"/>
        </w:rPr>
        <w:t>向图书馆推荐书籍，我馆为活动共采购图书</w:t>
      </w:r>
      <w:r>
        <w:rPr>
          <w:rFonts w:hint="eastAsia" w:ascii="仿宋_GB2312" w:hAnsi="仿宋_GB2312" w:eastAsia="仿宋_GB2312" w:cs="仿宋_GB2312"/>
          <w:sz w:val="32"/>
          <w:szCs w:val="32"/>
          <w:lang w:val="en-US" w:eastAsia="zh-CN"/>
        </w:rPr>
        <w:t>542</w:t>
      </w:r>
      <w:r>
        <w:rPr>
          <w:rFonts w:hint="eastAsia" w:ascii="仿宋_GB2312" w:hAnsi="仿宋_GB2312" w:eastAsia="仿宋_GB2312" w:cs="仿宋_GB2312"/>
          <w:sz w:val="32"/>
          <w:szCs w:val="32"/>
        </w:rPr>
        <w:t>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开展“春芽”文化志愿者服务活动</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招募30名小小图书志愿者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五是</w:t>
      </w:r>
      <w:r>
        <w:rPr>
          <w:rFonts w:hint="eastAsia" w:ascii="仿宋_GB2312" w:hAnsi="仿宋_GB2312" w:eastAsia="仿宋_GB2312" w:cs="仿宋_GB2312"/>
          <w:b w:val="0"/>
          <w:bCs w:val="0"/>
          <w:sz w:val="32"/>
          <w:szCs w:val="32"/>
        </w:rPr>
        <w:t>举办各类展览、培训、讲座。</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《雷锋》图片展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“书香如皋·摄影沙龙”图片展</w:t>
      </w:r>
      <w:r>
        <w:rPr>
          <w:rFonts w:hint="eastAsia" w:ascii="仿宋_GB2312" w:hAnsi="仿宋_GB2312" w:eastAsia="仿宋_GB2312" w:cs="仿宋_GB2312"/>
          <w:sz w:val="32"/>
          <w:szCs w:val="32"/>
          <w:lang w:eastAsia="zh-CN"/>
        </w:rPr>
        <w:t>、水浒插图图片展、少儿军事书展、“天下为公——中国共产党的廉政建设”基层巡回展等，全年送展览</w:t>
      </w:r>
      <w:r>
        <w:rPr>
          <w:rFonts w:hint="eastAsia" w:ascii="仿宋_GB2312" w:hAnsi="仿宋_GB2312" w:eastAsia="仿宋_GB2312" w:cs="仿宋_GB2312"/>
          <w:sz w:val="32"/>
          <w:szCs w:val="32"/>
          <w:lang w:val="en-US" w:eastAsia="zh-CN"/>
        </w:rPr>
        <w:t>8次，吸引五千人次；</w:t>
      </w:r>
      <w:r>
        <w:rPr>
          <w:rFonts w:hint="eastAsia" w:ascii="仿宋_GB2312" w:hAnsi="仿宋_GB2312" w:eastAsia="仿宋_GB2312" w:cs="仿宋_GB2312"/>
          <w:sz w:val="32"/>
          <w:szCs w:val="32"/>
        </w:rPr>
        <w:t>开展“健康大讲堂——专家讲健康自知”视频讲座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楹联培训班</w:t>
      </w:r>
      <w:r>
        <w:rPr>
          <w:rFonts w:hint="eastAsia" w:ascii="仿宋_GB2312" w:hAnsi="仿宋_GB2312" w:eastAsia="仿宋_GB2312" w:cs="仿宋_GB2312"/>
          <w:sz w:val="32"/>
          <w:szCs w:val="32"/>
          <w:lang w:eastAsia="zh-CN"/>
        </w:rPr>
        <w:t>、紧急救援知识培训、消防安全宣传教育片播放、糖尿病防治科普宣传等活动。上述活动的开展，扩大了图书馆的社会影响力，丰富了广大群众的文化生活，全民阅读全民参与的热情逐渐高涨。</w:t>
      </w: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总之，我馆在文广新局党组的正确领导下，在社会各界的关心、支持下，</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全体人员的共同努力，取得了一定的成绩。同时，我们也看到工作中还面临许多困难和问题，如人才资源依然紧缺、学术研究水平亟待进一步提高</w:t>
      </w:r>
      <w:r>
        <w:rPr>
          <w:rFonts w:hint="eastAsia" w:ascii="仿宋_GB2312" w:hAnsi="仿宋_GB2312" w:eastAsia="仿宋_GB2312" w:cs="仿宋_GB2312"/>
          <w:sz w:val="32"/>
          <w:szCs w:val="32"/>
          <w:lang w:eastAsia="zh-CN"/>
        </w:rPr>
        <w:t>、图书馆人员应对突发能力有待上升</w:t>
      </w:r>
      <w:r>
        <w:rPr>
          <w:rFonts w:hint="eastAsia" w:ascii="仿宋_GB2312" w:hAnsi="仿宋_GB2312" w:eastAsia="仿宋_GB2312" w:cs="仿宋_GB2312"/>
          <w:sz w:val="32"/>
          <w:szCs w:val="32"/>
        </w:rPr>
        <w:t>等等，需要进一步积极努力解决。</w:t>
      </w:r>
      <w:r>
        <w:rPr>
          <w:rFonts w:hint="eastAsia" w:ascii="仿宋_GB2312" w:hAnsi="仿宋_GB2312" w:eastAsia="仿宋_GB2312" w:cs="仿宋_GB2312"/>
          <w:sz w:val="32"/>
          <w:szCs w:val="32"/>
          <w:lang w:eastAsia="zh-CN"/>
        </w:rPr>
        <w:t>今后</w:t>
      </w:r>
      <w:r>
        <w:rPr>
          <w:rFonts w:hint="eastAsia" w:ascii="仿宋_GB2312" w:hAnsi="仿宋_GB2312" w:eastAsia="仿宋_GB2312" w:cs="仿宋_GB2312"/>
          <w:sz w:val="32"/>
          <w:szCs w:val="32"/>
        </w:rPr>
        <w:t>，我们将严格按照上级领导的要求，认真看待取得的成绩和将来发展道路，</w:t>
      </w:r>
      <w:r>
        <w:rPr>
          <w:rFonts w:hint="eastAsia" w:ascii="仿宋_GB2312" w:hAnsi="仿宋_GB2312" w:eastAsia="仿宋_GB2312" w:cs="仿宋_GB2312"/>
          <w:sz w:val="32"/>
          <w:szCs w:val="32"/>
          <w:lang w:eastAsia="zh-CN"/>
        </w:rPr>
        <w:t>坚持“读者至上，服务第一”的宗旨，坚持以人为本，增强图书馆综合实力，为推进“全民阅读”和</w:t>
      </w:r>
      <w:r>
        <w:rPr>
          <w:rFonts w:hint="eastAsia" w:ascii="仿宋_GB2312" w:hAnsi="仿宋_GB2312" w:eastAsia="仿宋_GB2312" w:cs="仿宋_GB2312"/>
          <w:sz w:val="32"/>
          <w:szCs w:val="32"/>
        </w:rPr>
        <w:t>“书香城市”建设努力发挥图书馆应起到的窗口引领、示范作用，为如皋勇当苏中全面建成小康社会领头雁提供强有力的精神保障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2014年业务统计分析报告</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在图书馆事业蓬勃发展的今天，要不断提高服务质量和服务水平，最大限度地满足读者需求、社会需求，图书馆事业才会有不断向前发展的动力。而研究读者需求、了解阅读倾向，须以重视和做好统计分析工作为前提。</w:t>
      </w:r>
      <w:r>
        <w:rPr>
          <w:rFonts w:hint="eastAsia" w:ascii="仿宋_GB2312" w:hAnsi="仿宋_GB2312" w:eastAsia="仿宋_GB2312" w:cs="仿宋_GB2312"/>
          <w:sz w:val="32"/>
          <w:szCs w:val="32"/>
        </w:rPr>
        <w:t>现将这一年业务数据作一统计和分析，以期总结经验，找出不足，更好地改进工作。</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2014年财政拨款总额及使用情况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 772.45 万元，支出为772.45万元（结余17.75万元）。其中：文化体育与传媒支出（类）文化（款）图书馆（项）其他文化支出（项）支出合计522.77万元，占财政拨款支出69.27%。文化体育与传媒支出（类）其他文化与传媒支出（款）其他文化与传媒支出（项）支出合计66.79万元，占财政拨款支出 8.85 %。图书馆2014年度一般公共预算财政拨款基本支出589.56万元。其中：人员经费支出254.69万元，公用经费支出334.87万元，政府性基金预算财政拨款收入为165.14万元，为少儿馆改造工程款，实际使用165.14万元，占财政拨款支出 21.88 %。</w:t>
      </w:r>
    </w:p>
    <w:p>
      <w:pPr>
        <w:jc w:val="center"/>
      </w:pPr>
      <w:r>
        <w:drawing>
          <wp:inline distT="0" distB="0" distL="114300" distR="114300">
            <wp:extent cx="4991100" cy="2743200"/>
            <wp:effectExtent l="4445" t="4445" r="14605" b="14605"/>
            <wp:docPr id="6" name="图片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2014年图书馆经费使用情况_001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项目支出即购书经费1000000元，数字化建设150000元，古籍维护50000元等，网络维护包括共享工程135000元，活动经费40000元。</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二、2014年馆藏统计情况：</w:t>
      </w:r>
    </w:p>
    <w:tbl>
      <w:tblPr>
        <w:tblStyle w:val="7"/>
        <w:tblW w:w="6404" w:type="dxa"/>
        <w:jc w:val="center"/>
        <w:tblInd w:w="1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1"/>
        <w:gridCol w:w="1812"/>
        <w:gridCol w:w="1341"/>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2014年按验收月份统计文献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统计单位 验收年代</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种</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1957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2684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2893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4080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8147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5398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10752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3281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5068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11772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43594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96907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22749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89167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2014年合计</w:t>
            </w:r>
          </w:p>
        </w:tc>
        <w:tc>
          <w:tcPr>
            <w:tcW w:w="181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78414</w:t>
            </w:r>
          </w:p>
        </w:tc>
        <w:tc>
          <w:tcPr>
            <w:tcW w:w="13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274045</w:t>
            </w:r>
          </w:p>
        </w:tc>
        <w:tc>
          <w:tcPr>
            <w:tcW w:w="1320"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568908</w:t>
            </w:r>
          </w:p>
        </w:tc>
      </w:tr>
    </w:tbl>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2014年全年验收（新增)文献量达到274045册,年人均新增文献量达0.22册。截止到2014年底，全馆文献总量达568908册。</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三、2014年持证读者情况</w:t>
      </w:r>
    </w:p>
    <w:p>
      <w:pPr>
        <w:ind w:firstLine="42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13350" cy="3149600"/>
            <wp:effectExtent l="0" t="0" r="6350" b="12700"/>
            <wp:docPr id="3" name="图片 3" descr="持证人口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持证人口2013"/>
                    <pic:cNvPicPr>
                      <a:picLocks noChangeAspect="1"/>
                    </pic:cNvPicPr>
                  </pic:nvPicPr>
                  <pic:blipFill>
                    <a:blip r:embed="rId6"/>
                    <a:stretch>
                      <a:fillRect/>
                    </a:stretch>
                  </pic:blipFill>
                  <pic:spPr>
                    <a:xfrm>
                      <a:off x="0" y="0"/>
                      <a:ext cx="5213350" cy="3149600"/>
                    </a:xfrm>
                    <a:prstGeom prst="rect">
                      <a:avLst/>
                    </a:prstGeom>
                  </pic:spPr>
                </pic:pic>
              </a:graphicData>
            </a:graphic>
          </wp:inline>
        </w:drawing>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21"/>
          <w:szCs w:val="21"/>
          <w:lang w:val="en-US" w:eastAsia="zh-CN"/>
        </w:rPr>
        <w:t>2014年我馆持证读者人数_002</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2014年我馆持证读者人数达28280人。</w:t>
      </w:r>
    </w:p>
    <w:p>
      <w:pPr>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四、服务情况统计：</w:t>
      </w:r>
    </w:p>
    <w:tbl>
      <w:tblPr>
        <w:tblStyle w:val="7"/>
        <w:tblW w:w="87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2"/>
        <w:gridCol w:w="2195"/>
        <w:gridCol w:w="952"/>
        <w:gridCol w:w="952"/>
        <w:gridCol w:w="2737"/>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7" w:hRule="atLeast"/>
          <w:jc w:val="center"/>
        </w:trPr>
        <w:tc>
          <w:tcPr>
            <w:tcW w:w="87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2014年图书馆服务量统计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   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   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用户修改口令</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还书处理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添加新书目记录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13482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打印借书清单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添加复制记录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1598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逾期费,有偿借阅零收款结算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添加外部复制记录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7446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证工本费结算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代码：215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基本押金结算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修改书目记录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10025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定期服务费结算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Z39图书编目</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6619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一般流通查询输出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书目记录审校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读者档案查询输出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删除书目记录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读者借阅排行榜</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图书验收</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流通工作日志查询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新增馆藏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274329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馆藏历史查询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删除馆藏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一般流通统计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编目修改馆藏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2496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读者流通统计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图书交送</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图书流通统计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图书采编批处理输出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读者档案统计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图书采编工作日志查询</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流通财经统计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图书书目统计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流通费用收支统计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图书馆藏统计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图书馆藏财产统计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图书采编工作量统计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流通工作量统计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CNMARC数据导入</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流通管理参数定义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图书采编工作规则</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流通统计方案定义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填表式著录项目定义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更新读者类型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条码号分区定义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图书库位个别调整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文献地点定义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图书库位批量调整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采编查询输出方案定义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图书个别重新入藏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采编统计方案定义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图书批量重新入藏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办理新证</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10119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图书剔除出藏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验证处理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图书损坏出藏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改证类型</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图书送展出藏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图书其它出藏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挂失恢复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图书财产记录删除</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暂停处理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图书简单数量清点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暂停恢复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网内图书馆定义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网内其他图书馆读者类型定义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网内图书馆读者归还图书</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代码：1127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网络续借</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权限更改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网络修改密码</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读者证批增加</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网络借书证挂失</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读者证批修改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代码：9701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普通借书</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239246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如皋市图书馆读秀登录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续借图书</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2014年</w:t>
      </w:r>
      <w:r>
        <w:rPr>
          <w:rFonts w:hint="eastAsia" w:ascii="仿宋_GB2312" w:hAnsi="仿宋_GB2312" w:eastAsia="仿宋_GB2312" w:cs="仿宋_GB2312"/>
          <w:i w:val="0"/>
          <w:color w:val="000000"/>
          <w:kern w:val="0"/>
          <w:sz w:val="32"/>
          <w:szCs w:val="32"/>
          <w:u w:val="none"/>
          <w:lang w:val="en-US" w:eastAsia="zh-CN" w:bidi="ar"/>
        </w:rPr>
        <w:t>普通借书量达到239246册次，普通还书量为2236256册次，办理新证10119张，注销处理977次。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当前统计工作存在的问题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目前如皋市图书馆的统计工作还缺乏科学性、系统性和完整性，主要原因是: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1.目标不明确：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馆员不清楚有哪些指标可供本馆利用，或者说图书馆需要哪些指标进行统计分析，最终达到图书馆有效管理的目的。首先要由领导牵头，专人研究确定图书馆各项工作指标，将之与统计分析的结果做比较，以便更好地改进各项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2.统计方法不严谨：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图书馆在统计方法上不严谨，盲目统计或不做调查就做分析，不能反映出内容的真实性。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我国目前实施的图书馆统计国家标准为 GB /T13191［4］，其中提到如何用科学的方法进行统计分析，如何选择适合本馆需求的具体指标为图书馆所利用。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3.统计工作不连续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统计人员经常不能持之以恒，工作忙或想不起来时便不进行统计工作。而且，通常原始的统计调查，不做统计整理和分析，或有整理无分析，使得统计工作得毫无意义。</w:t>
      </w:r>
    </w:p>
    <w:p>
      <w:pPr>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五、持证读者数统计</w:t>
      </w:r>
    </w:p>
    <w:p>
      <w:pPr>
        <w:jc w:val="center"/>
      </w:pPr>
      <w:r>
        <w:drawing>
          <wp:inline distT="0" distB="0" distL="114300" distR="114300">
            <wp:extent cx="4572000" cy="2743200"/>
            <wp:effectExtent l="4445" t="4445" r="14605" b="1460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br w:type="textWrapping"/>
      </w:r>
      <w:r>
        <w:rPr>
          <w:rFonts w:hint="eastAsia" w:ascii="仿宋_GB2312" w:hAnsi="仿宋_GB2312" w:eastAsia="仿宋_GB2312" w:cs="仿宋_GB2312"/>
          <w:sz w:val="21"/>
          <w:szCs w:val="21"/>
          <w:lang w:val="en-US" w:eastAsia="zh-CN"/>
        </w:rPr>
        <w:t>2013年-2016年，我馆持证读者数情况统计图_003</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lang w:eastAsia="zh-CN"/>
        </w:rPr>
        <w:t>统计得知，截止</w:t>
      </w:r>
      <w:r>
        <w:rPr>
          <w:rFonts w:hint="eastAsia" w:ascii="仿宋_GB2312" w:hAnsi="仿宋_GB2312" w:eastAsia="仿宋_GB2312" w:cs="仿宋_GB2312"/>
          <w:b w:val="0"/>
          <w:i w:val="0"/>
          <w:caps w:val="0"/>
          <w:color w:val="000000"/>
          <w:spacing w:val="0"/>
          <w:sz w:val="32"/>
          <w:szCs w:val="32"/>
          <w:shd w:val="clear" w:fill="FFFFFF"/>
          <w:lang w:val="en-US" w:eastAsia="zh-CN"/>
        </w:rPr>
        <w:t>2014年，如皋图书馆持证人口（去除注销人数后）为28280人。通过分析得知中年人和青年人是图书馆人群的主体。</w:t>
      </w:r>
    </w:p>
    <w:p>
      <w:pPr>
        <w:ind w:firstLine="420"/>
        <w:jc w:val="center"/>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如皋图书馆持证读者情况分析</w:t>
      </w:r>
    </w:p>
    <w:tbl>
      <w:tblPr>
        <w:tblStyle w:val="7"/>
        <w:tblW w:w="7152" w:type="dxa"/>
        <w:jc w:val="center"/>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0"/>
        <w:gridCol w:w="1015"/>
        <w:gridCol w:w="1001"/>
        <w:gridCol w:w="972"/>
        <w:gridCol w:w="1001"/>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1960年前出生男性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1960年前出生女性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9164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1960-1979出生男性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5395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3329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9587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1960-1979出生女性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3246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15538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1980-1999出生男性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5861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10789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1980-1999出生女性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2000-2017出生男性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2000-2017出生女性</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rPr>
          <w:rFonts w:hint="eastAsia" w:ascii="仿宋_GB2312" w:hAnsi="仿宋_GB2312" w:eastAsia="仿宋_GB2312" w:cs="仿宋_GB2312"/>
          <w:b w:val="0"/>
          <w:i w:val="0"/>
          <w:caps w:val="0"/>
          <w:color w:val="000000"/>
          <w:spacing w:val="0"/>
          <w:sz w:val="24"/>
          <w:szCs w:val="24"/>
          <w:shd w:val="clear" w:fill="FFFFFF"/>
          <w:lang w:eastAsia="zh-CN"/>
        </w:rPr>
      </w:pPr>
    </w:p>
    <w:p>
      <w:pPr>
        <w:ind w:firstLine="960"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据统计，全市男性读者总体高于女性读者。</w:t>
      </w:r>
    </w:p>
    <w:p>
      <w:pPr>
        <w:ind w:firstLine="42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4572000" cy="2743200"/>
            <wp:effectExtent l="0" t="0" r="0" b="0"/>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360" w:lineRule="auto"/>
        <w:ind w:left="0" w:leftChars="0" w:right="0" w:rightChars="0"/>
        <w:jc w:val="center"/>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21"/>
          <w:szCs w:val="21"/>
          <w:shd w:val="clear" w:fill="FFFFFF"/>
          <w:lang w:val="en-US" w:eastAsia="zh-CN"/>
        </w:rPr>
        <w:t>如皋图书馆持证读者性别群体分析_004</w:t>
      </w:r>
    </w:p>
    <w:p>
      <w:pPr>
        <w:pageBreakBefore w:val="0"/>
        <w:kinsoku/>
        <w:wordWrap/>
        <w:overflowPunct/>
        <w:topLinePunct w:val="0"/>
        <w:bidi w:val="0"/>
        <w:spacing w:line="360" w:lineRule="auto"/>
        <w:ind w:right="0" w:rightChars="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rPr>
        <w:t>当今图书馆用户群体及需求的转变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bCs/>
          <w:i w:val="0"/>
          <w:caps w:val="0"/>
          <w:color w:val="000000"/>
          <w:spacing w:val="0"/>
          <w:sz w:val="32"/>
          <w:szCs w:val="32"/>
          <w:shd w:val="clear" w:fill="FFFFFF"/>
        </w:rPr>
        <w:t>　　（一）用户群体的改变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在当今环境中，由于信息的高速发展，服务种类的扩大，图书馆已不再局限于时空的限制，凡利用本馆资源的单位和个人都是本馆的用户，其用户范围可以由传统的借阅读者发展为通过互联网共享馆内信息资源的全球读者，用户群体空前庞大，网上用户的出现极大丰富了用户群体的类型，除了教师、学生和科研人员之外，还包括公司职员、公务员、军人、普通居民等。现代化的服务手段使信息用户群体由单一向多元化、动态化方向发展。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（二）用户需求的转变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用户群体范围的不断扩大必然带来用户需求在一定程度的转变，主要反映在以下几方面：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1.用户需求更加全面。</w:t>
      </w:r>
      <w:r>
        <w:rPr>
          <w:rFonts w:hint="eastAsia" w:ascii="仿宋_GB2312" w:hAnsi="仿宋_GB2312" w:eastAsia="仿宋_GB2312" w:cs="仿宋_GB2312"/>
          <w:b w:val="0"/>
          <w:i w:val="0"/>
          <w:caps w:val="0"/>
          <w:color w:val="000000"/>
          <w:spacing w:val="0"/>
          <w:sz w:val="32"/>
          <w:szCs w:val="32"/>
          <w:shd w:val="clear" w:fill="FFFFFF"/>
        </w:rPr>
        <w:t>传统的用户，需求单一且专业性强，其需求只能在一定范围内得到满足，故存在着一定程度的局限，随着现代科学的不断发展导致了需求也出现了全面化、综合化的趋势。互联网的出现彻底改变了传统用户需求意识，用户不再受空间和时间的限制，用户的信息需求扩散到各个领域。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2.用户需求的个性化。</w:t>
      </w:r>
      <w:r>
        <w:rPr>
          <w:rFonts w:hint="eastAsia" w:ascii="仿宋_GB2312" w:hAnsi="仿宋_GB2312" w:eastAsia="仿宋_GB2312" w:cs="仿宋_GB2312"/>
          <w:b w:val="0"/>
          <w:i w:val="0"/>
          <w:caps w:val="0"/>
          <w:color w:val="000000"/>
          <w:spacing w:val="0"/>
          <w:sz w:val="32"/>
          <w:szCs w:val="32"/>
          <w:shd w:val="clear" w:fill="FFFFFF"/>
        </w:rPr>
        <w:t>用户需求个性化的出现，势必要求图书馆对用户需求实施针对性的服务。由于用户所学的专业，所从事的职业，所承担的任务，所处的环境，兴趣爱好等不同，因而对信息的需求也有所不同。另外，由于网络的普及，从事个人研究与爱好的用户越来越多，部分用户的信息需求趋向专深和特殊，其需求也与普通用户有着质的区别，不仅自己收藏了大量对自己有用的东西，而且时时跟踪最新发展方向与动态，补充自己的资料，此时，用户需求更具有针对性、个性化。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　3.用户需求的精确性。</w:t>
      </w:r>
      <w:r>
        <w:rPr>
          <w:rFonts w:hint="eastAsia" w:ascii="仿宋_GB2312" w:hAnsi="仿宋_GB2312" w:eastAsia="仿宋_GB2312" w:cs="仿宋_GB2312"/>
          <w:b w:val="0"/>
          <w:i w:val="0"/>
          <w:caps w:val="0"/>
          <w:color w:val="000000"/>
          <w:spacing w:val="0"/>
          <w:sz w:val="32"/>
          <w:szCs w:val="32"/>
          <w:shd w:val="clear" w:fill="FFFFFF"/>
        </w:rPr>
        <w:t>随着电子资源的出现，网上资源也被纳入到图书馆的服务范围，这就面临各种信息资源的大量涌入。面对无序分散的信息海洋，大多数用户不仅仅关心信息量的问题，而是越来越重视所提供的信息精确性。</w:t>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b/>
          <w:bCs/>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2014年如皋图书馆大事记</w:t>
      </w:r>
    </w:p>
    <w:p>
      <w:pPr>
        <w:keepNext w:val="0"/>
        <w:keepLines w:val="0"/>
        <w:pageBreakBefore w:val="0"/>
        <w:widowControl w:val="0"/>
        <w:kinsoku/>
        <w:wordWrap/>
        <w:overflowPunct/>
        <w:topLinePunct w:val="0"/>
        <w:autoSpaceDE/>
        <w:autoSpaceDN/>
        <w:bidi w:val="0"/>
        <w:adjustRightInd/>
        <w:snapToGrid/>
        <w:spacing w:before="312" w:beforeLines="100" w:after="0" w:afterLines="0"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【概述】</w:t>
      </w:r>
      <w:r>
        <w:rPr>
          <w:rFonts w:hint="eastAsia" w:ascii="仿宋_GB2312" w:hAnsi="仿宋_GB2312" w:eastAsia="仿宋_GB2312" w:cs="仿宋_GB2312"/>
          <w:sz w:val="32"/>
          <w:szCs w:val="32"/>
          <w:lang w:val="en-US" w:eastAsia="zh-CN"/>
        </w:rPr>
        <w:t>2014年如皋市图书馆</w:t>
      </w:r>
      <w:r>
        <w:rPr>
          <w:rFonts w:hint="eastAsia" w:ascii="仿宋_GB2312" w:hAnsi="仿宋_GB2312" w:eastAsia="仿宋_GB2312" w:cs="仿宋_GB2312"/>
          <w:sz w:val="32"/>
          <w:szCs w:val="32"/>
          <w:lang w:eastAsia="zh-CN"/>
        </w:rPr>
        <w:t>共采购图书4万多册，订购期刊420种，办理借书证8千余份，接待读者40.5万人次,外借图书30万册次，全年送书2.6914万册，编印《信息摘编》12期，办《读者园地》18期，编印报刊导读365期，编印《书香信息》12期，举办各种活动70余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举办读书</w:t>
      </w:r>
      <w:r>
        <w:rPr>
          <w:rFonts w:hint="eastAsia" w:ascii="仿宋_GB2312" w:hAnsi="仿宋_GB2312" w:eastAsia="仿宋_GB2312" w:cs="仿宋_GB2312"/>
          <w:b/>
          <w:bCs/>
          <w:sz w:val="32"/>
          <w:szCs w:val="32"/>
        </w:rPr>
        <w:t>活动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2月9日，开展“大手拉小手·猜猜猜”活动，市文广新局副局长冒逊参加了此次活动，比赛共有20组选手参与角逐；2月11日至14日，开展以“书中寻找金钥匙”为主题的有奖知识竞赛，共计19名小读者获得奖品；2月25日下午，开展首场“东皋故事会”，由文广新局主办，由市图书馆、市外国语学校联合承办，市文广新局副局长冒逊应邀出席，市外国语学校200多名师生参加；</w:t>
      </w:r>
      <w:r>
        <w:rPr>
          <w:rFonts w:hint="eastAsia" w:ascii="仿宋_GB2312" w:hAnsi="仿宋_GB2312" w:eastAsia="仿宋_GB2312" w:cs="仿宋_GB2312"/>
          <w:b w:val="0"/>
          <w:bCs/>
          <w:sz w:val="32"/>
          <w:szCs w:val="32"/>
          <w:lang w:val="en-US" w:eastAsia="zh-CN"/>
        </w:rPr>
        <w:t>4月14日至30日，开展“春季传染病”有奖知识问答活动，有近50名读者参与；5月</w:t>
      </w:r>
      <w:r>
        <w:rPr>
          <w:rFonts w:hint="eastAsia" w:ascii="仿宋_GB2312" w:hAnsi="仿宋_GB2312" w:eastAsia="仿宋_GB2312" w:cs="仿宋_GB2312"/>
          <w:b w:val="0"/>
          <w:bCs/>
          <w:sz w:val="32"/>
          <w:szCs w:val="32"/>
          <w:lang w:eastAsia="zh-CN"/>
        </w:rPr>
        <w:t>开展“莲香书风润皋城”系列活动，共挑选210册廉政书籍免费赠送给全市各镇（区、街道）、市级机关等有关部门，同时开展以优秀廉政为主题、主旋律的免费电影放映活动；</w:t>
      </w:r>
      <w:r>
        <w:rPr>
          <w:rFonts w:hint="eastAsia" w:ascii="仿宋_GB2312" w:hAnsi="仿宋_GB2312" w:eastAsia="仿宋_GB2312" w:cs="仿宋_GB2312"/>
          <w:b w:val="0"/>
          <w:bCs/>
          <w:sz w:val="32"/>
          <w:szCs w:val="32"/>
          <w:lang w:val="en-US" w:eastAsia="zh-CN"/>
        </w:rPr>
        <w:t>5月至7月，开展</w:t>
      </w:r>
      <w:r>
        <w:rPr>
          <w:rFonts w:hint="eastAsia" w:ascii="仿宋_GB2312" w:hAnsi="仿宋_GB2312" w:eastAsia="仿宋_GB2312" w:cs="仿宋_GB2312"/>
          <w:b w:val="0"/>
          <w:bCs/>
          <w:sz w:val="32"/>
          <w:szCs w:val="32"/>
          <w:lang w:eastAsia="zh-CN"/>
        </w:rPr>
        <w:t>“亲近阅读</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点燃梦想”征文活动，共征集到作品42篇，22篇征文选送南通参赛，其中获得南通市三等奖3篇；6月1日至10日，开展“小军迷”图书荐读活动，近200本儿童军事类图书展出；7月11日，如皋市妇联牵手如皋市图书馆联合举办了“爱心助孤”、“爱心护蕾”扶助款发放仪式暨“七彩的夏日”阅读活动，市委常委、组织部长蒋健、市妇联主席王桂兰、市文广新局副局长冒逊等出席了活动，我馆为84名受捐助的孤儿赠送共计336册图书，84张借书证；</w:t>
      </w:r>
      <w:r>
        <w:rPr>
          <w:rFonts w:hint="eastAsia" w:ascii="仿宋_GB2312" w:hAnsi="仿宋_GB2312" w:eastAsia="仿宋_GB2312" w:cs="仿宋_GB2312"/>
          <w:b w:val="0"/>
          <w:bCs/>
          <w:sz w:val="32"/>
          <w:szCs w:val="32"/>
          <w:lang w:val="en-US" w:eastAsia="zh-CN"/>
        </w:rPr>
        <w:t>7月19日及8月</w:t>
      </w:r>
      <w:r>
        <w:rPr>
          <w:rFonts w:hint="eastAsia" w:ascii="仿宋_GB2312" w:hAnsi="仿宋_GB2312" w:eastAsia="仿宋_GB2312" w:cs="仿宋_GB2312"/>
          <w:b w:val="0"/>
          <w:bCs/>
          <w:sz w:val="32"/>
          <w:szCs w:val="32"/>
          <w:lang w:eastAsia="zh-CN"/>
        </w:rPr>
        <w:t>16日、17日，举办了三期礼教大讲堂，由本市历史文化研究学者葛剑南先生主讲；8月22日，举行如皋市“全民阅读”知识竞赛决赛，市委宣传部副部长、市文广新局局长姚呈明，市文广新局副局长水秀平，市文广新局副局长冒逊应邀出席，各镇文化站长和全民阅读领导小组成员单位联络员以及现场观众近100余人参与观摩，此次大赛由市全民阅读办、市文广新局联合主办，由市图书馆承办，九华镇、东陈镇以及石庄镇推荐的家庭分别获得初中组决赛的一、二、三等奖，下原镇、东陈镇以及丁堰镇推荐的家庭分别获得小学组决赛的一、二、三等奖；8月27日下午3时，由如皋市文化广电新闻出版局主办、如皋市图书馆承办第四场故事会，邀请到如皋市原博物馆副馆长、副研究馆员徐琛先生，为</w:t>
      </w:r>
      <w:r>
        <w:rPr>
          <w:rFonts w:hint="eastAsia" w:ascii="仿宋_GB2312" w:hAnsi="仿宋_GB2312" w:eastAsia="仿宋_GB2312" w:cs="仿宋_GB2312"/>
          <w:b w:val="0"/>
          <w:bCs/>
          <w:sz w:val="32"/>
          <w:szCs w:val="32"/>
          <w:lang w:val="en-US" w:eastAsia="zh-CN"/>
        </w:rPr>
        <w:t>100多位读者</w:t>
      </w:r>
      <w:r>
        <w:rPr>
          <w:rFonts w:hint="eastAsia" w:ascii="仿宋_GB2312" w:hAnsi="仿宋_GB2312" w:eastAsia="仿宋_GB2312" w:cs="仿宋_GB2312"/>
          <w:b w:val="0"/>
          <w:bCs/>
          <w:sz w:val="32"/>
          <w:szCs w:val="32"/>
          <w:lang w:eastAsia="zh-CN"/>
        </w:rPr>
        <w:t>带来如皋古邑及人文轶事；</w:t>
      </w:r>
      <w:r>
        <w:rPr>
          <w:rFonts w:hint="eastAsia" w:ascii="仿宋_GB2312" w:hAnsi="仿宋_GB2312" w:eastAsia="仿宋_GB2312" w:cs="仿宋_GB2312"/>
          <w:b w:val="0"/>
          <w:bCs/>
          <w:sz w:val="32"/>
          <w:szCs w:val="32"/>
          <w:lang w:val="en-US" w:eastAsia="zh-CN"/>
        </w:rPr>
        <w:t>11月至12月</w:t>
      </w:r>
      <w:r>
        <w:rPr>
          <w:rFonts w:hint="eastAsia" w:ascii="仿宋_GB2312" w:hAnsi="仿宋_GB2312" w:eastAsia="仿宋_GB2312" w:cs="仿宋_GB2312"/>
          <w:b w:val="0"/>
          <w:bCs/>
          <w:sz w:val="32"/>
          <w:szCs w:val="32"/>
          <w:lang w:eastAsia="zh-CN"/>
        </w:rPr>
        <w:t>每周日开展“亲子同读 修身立德”国学沙龙活动，邀请到我市知名国学老师房珏担当国学课堂的授课老师，将近百对亲子参加活动；</w:t>
      </w:r>
      <w:r>
        <w:rPr>
          <w:rFonts w:hint="eastAsia" w:ascii="仿宋_GB2312" w:hAnsi="仿宋_GB2312" w:eastAsia="仿宋_GB2312" w:cs="仿宋_GB2312"/>
          <w:b w:val="0"/>
          <w:bCs/>
          <w:sz w:val="32"/>
          <w:szCs w:val="32"/>
          <w:lang w:val="en-US" w:eastAsia="zh-CN"/>
        </w:rPr>
        <w:t>12月</w:t>
      </w:r>
      <w:r>
        <w:rPr>
          <w:rFonts w:hint="eastAsia" w:ascii="仿宋_GB2312" w:hAnsi="仿宋_GB2312" w:eastAsia="仿宋_GB2312" w:cs="仿宋_GB2312"/>
          <w:b w:val="0"/>
          <w:bCs/>
          <w:sz w:val="32"/>
          <w:szCs w:val="32"/>
          <w:lang w:eastAsia="zh-CN"/>
        </w:rPr>
        <w:t>每周五下午4:30—5:30在孔庙社区开展弘毅读书交流会，我馆精心挑选《语文新课标中小学生课外阅读必读丛书》近120册，并安排辅导老师为学生指导阅读；</w:t>
      </w:r>
      <w:r>
        <w:rPr>
          <w:rFonts w:hint="eastAsia" w:ascii="仿宋_GB2312" w:hAnsi="仿宋_GB2312" w:eastAsia="仿宋_GB2312" w:cs="仿宋_GB2312"/>
          <w:b w:val="0"/>
          <w:bCs/>
          <w:sz w:val="32"/>
          <w:szCs w:val="32"/>
          <w:lang w:val="en-US" w:eastAsia="zh-CN"/>
        </w:rPr>
        <w:t>2014年继续开展“爱心图书”村小漂流活动，</w:t>
      </w:r>
      <w:r>
        <w:rPr>
          <w:rFonts w:hint="eastAsia" w:ascii="仿宋_GB2312" w:hAnsi="仿宋_GB2312" w:eastAsia="仿宋_GB2312" w:cs="仿宋_GB2312"/>
          <w:b w:val="0"/>
          <w:bCs/>
          <w:sz w:val="32"/>
          <w:szCs w:val="32"/>
          <w:lang w:eastAsia="zh-CN"/>
        </w:rPr>
        <w:t>我馆为何庄、刘岱、奚斜小学的孩子们精挑细选包括文学、科普、历史等900余册少儿新书，并且将此归类分整到特别制作的18只爱心图书漂流箱，方便村小学生及时漂流更换图书，已有8000余名农村孩子受益；全年开展“你点书，我买单”活动，全年共有220名读者向图书馆推荐书籍，我馆为活动共采购图书542册；全年开展“春芽”文化志愿者服务活动，全年共招募30名小小图书志愿者。</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【图书馆服务宣传周活动】</w:t>
      </w:r>
      <w:r>
        <w:rPr>
          <w:rFonts w:hint="eastAsia" w:ascii="仿宋_GB2312" w:hAnsi="仿宋_GB2312" w:eastAsia="仿宋_GB2312" w:cs="仿宋_GB2312"/>
          <w:b w:val="0"/>
          <w:bCs/>
          <w:sz w:val="32"/>
          <w:szCs w:val="32"/>
          <w:lang w:eastAsia="zh-CN"/>
        </w:rPr>
        <w:t>5月20日至</w:t>
      </w:r>
      <w:r>
        <w:rPr>
          <w:rFonts w:hint="eastAsia" w:ascii="仿宋_GB2312" w:hAnsi="仿宋_GB2312" w:eastAsia="仿宋_GB2312" w:cs="仿宋_GB2312"/>
          <w:b w:val="0"/>
          <w:bCs/>
          <w:sz w:val="32"/>
          <w:szCs w:val="32"/>
          <w:lang w:val="en-US" w:eastAsia="zh-CN"/>
        </w:rPr>
        <w:t>31日</w:t>
      </w:r>
      <w:r>
        <w:rPr>
          <w:rFonts w:hint="eastAsia" w:ascii="仿宋_GB2312" w:hAnsi="仿宋_GB2312" w:eastAsia="仿宋_GB2312" w:cs="仿宋_GB2312"/>
          <w:b w:val="0"/>
          <w:bCs/>
          <w:sz w:val="32"/>
          <w:szCs w:val="32"/>
          <w:lang w:eastAsia="zh-CN"/>
        </w:rPr>
        <w:t>，举办“水浒”插图展；5月</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lang w:eastAsia="zh-CN"/>
        </w:rPr>
        <w:t>日至</w:t>
      </w:r>
      <w:r>
        <w:rPr>
          <w:rFonts w:hint="eastAsia" w:ascii="仿宋_GB2312" w:hAnsi="仿宋_GB2312" w:eastAsia="仿宋_GB2312" w:cs="仿宋_GB2312"/>
          <w:b w:val="0"/>
          <w:bCs/>
          <w:sz w:val="32"/>
          <w:szCs w:val="32"/>
          <w:lang w:val="en-US" w:eastAsia="zh-CN"/>
        </w:rPr>
        <w:t>31</w:t>
      </w:r>
      <w:r>
        <w:rPr>
          <w:rFonts w:hint="eastAsia" w:ascii="仿宋_GB2312" w:hAnsi="仿宋_GB2312" w:eastAsia="仿宋_GB2312" w:cs="仿宋_GB2312"/>
          <w:b w:val="0"/>
          <w:bCs/>
          <w:sz w:val="32"/>
          <w:szCs w:val="32"/>
          <w:lang w:eastAsia="zh-CN"/>
        </w:rPr>
        <w:t>日，开展幼儿绘本荐读活动，共计140本经典绘本展出；5月</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lang w:eastAsia="zh-CN"/>
        </w:rPr>
        <w:t>日至</w:t>
      </w:r>
      <w:r>
        <w:rPr>
          <w:rFonts w:hint="eastAsia" w:ascii="仿宋_GB2312" w:hAnsi="仿宋_GB2312" w:eastAsia="仿宋_GB2312" w:cs="仿宋_GB2312"/>
          <w:b w:val="0"/>
          <w:bCs/>
          <w:sz w:val="32"/>
          <w:szCs w:val="32"/>
          <w:lang w:val="en-US" w:eastAsia="zh-CN"/>
        </w:rPr>
        <w:t>31</w:t>
      </w:r>
      <w:r>
        <w:rPr>
          <w:rFonts w:hint="eastAsia" w:ascii="仿宋_GB2312" w:hAnsi="仿宋_GB2312" w:eastAsia="仿宋_GB2312" w:cs="仿宋_GB2312"/>
          <w:b w:val="0"/>
          <w:bCs/>
          <w:sz w:val="32"/>
          <w:szCs w:val="32"/>
          <w:lang w:eastAsia="zh-CN"/>
        </w:rPr>
        <w:t>日，开展新书荐读活动，近200本新书展出；</w:t>
      </w:r>
      <w:r>
        <w:rPr>
          <w:rFonts w:hint="eastAsia" w:ascii="仿宋_GB2312" w:hAnsi="仿宋_GB2312" w:eastAsia="仿宋_GB2312" w:cs="仿宋_GB2312"/>
          <w:b w:val="0"/>
          <w:bCs/>
          <w:sz w:val="32"/>
          <w:szCs w:val="32"/>
          <w:lang w:val="en-US" w:eastAsia="zh-CN"/>
        </w:rPr>
        <w:t>5月24日、25日及31日，</w:t>
      </w:r>
      <w:r>
        <w:rPr>
          <w:rFonts w:hint="eastAsia" w:ascii="仿宋_GB2312" w:hAnsi="仿宋_GB2312" w:eastAsia="仿宋_GB2312" w:cs="仿宋_GB2312"/>
          <w:b w:val="0"/>
          <w:bCs/>
          <w:sz w:val="32"/>
          <w:szCs w:val="32"/>
          <w:lang w:eastAsia="zh-CN"/>
        </w:rPr>
        <w:t>开展免费电影放映活动；</w:t>
      </w:r>
      <w:r>
        <w:rPr>
          <w:rFonts w:hint="eastAsia" w:ascii="仿宋_GB2312" w:hAnsi="仿宋_GB2312" w:eastAsia="仿宋_GB2312" w:cs="仿宋_GB2312"/>
          <w:b w:val="0"/>
          <w:bCs/>
          <w:sz w:val="32"/>
          <w:szCs w:val="32"/>
          <w:lang w:val="en-US" w:eastAsia="zh-CN"/>
        </w:rPr>
        <w:t>5月26日至30日，</w:t>
      </w:r>
      <w:r>
        <w:rPr>
          <w:rFonts w:hint="eastAsia" w:ascii="仿宋_GB2312" w:hAnsi="仿宋_GB2312" w:eastAsia="仿宋_GB2312" w:cs="仿宋_GB2312"/>
          <w:b w:val="0"/>
          <w:bCs/>
          <w:sz w:val="32"/>
          <w:szCs w:val="32"/>
          <w:lang w:eastAsia="zh-CN"/>
        </w:rPr>
        <w:t>开展免费视频讲座活动；</w:t>
      </w:r>
      <w:r>
        <w:rPr>
          <w:rFonts w:hint="eastAsia" w:ascii="仿宋_GB2312" w:hAnsi="仿宋_GB2312" w:eastAsia="仿宋_GB2312" w:cs="仿宋_GB2312"/>
          <w:b w:val="0"/>
          <w:bCs/>
          <w:sz w:val="32"/>
          <w:szCs w:val="32"/>
          <w:lang w:val="en-US" w:eastAsia="zh-CN"/>
        </w:rPr>
        <w:t>5月27日、29日，开展“迷你图书馆”进社区活动。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【其他展览、培训、讲座等活动】</w:t>
      </w:r>
      <w:r>
        <w:rPr>
          <w:rFonts w:hint="eastAsia" w:ascii="仿宋_GB2312" w:hAnsi="仿宋_GB2312" w:eastAsia="仿宋_GB2312" w:cs="仿宋_GB2312"/>
          <w:b w:val="0"/>
          <w:bCs/>
          <w:sz w:val="32"/>
          <w:szCs w:val="32"/>
          <w:lang w:eastAsia="zh-CN"/>
        </w:rPr>
        <w:t>1月25日至2月25日，举办“中国传统年画大观”展，共吸引读者1500人次；3月3日至15日，举办《雷锋》图片展，共陈列出11块展板，共吸引读者300余人；3月17日至30日，举办“书香如皋</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摄影沙龙”图片展，我馆协同市摄影家协会精心挑选了部分会员的82张作品，共设8个展板进行展示；</w:t>
      </w:r>
      <w:r>
        <w:rPr>
          <w:rFonts w:hint="eastAsia" w:ascii="仿宋_GB2312" w:hAnsi="仿宋_GB2312" w:eastAsia="仿宋_GB2312" w:cs="仿宋_GB2312"/>
          <w:b w:val="0"/>
          <w:bCs/>
          <w:sz w:val="32"/>
          <w:szCs w:val="32"/>
          <w:lang w:val="en-US" w:eastAsia="zh-CN"/>
        </w:rPr>
        <w:t>4月</w:t>
      </w:r>
      <w:r>
        <w:rPr>
          <w:rFonts w:hint="eastAsia" w:ascii="仿宋_GB2312" w:hAnsi="仿宋_GB2312" w:eastAsia="仿宋_GB2312" w:cs="仿宋_GB2312"/>
          <w:b w:val="0"/>
          <w:bCs/>
          <w:sz w:val="32"/>
          <w:szCs w:val="32"/>
          <w:lang w:eastAsia="zh-CN"/>
        </w:rPr>
        <w:t>20日，举办紧急救援知识培训，共吸引100多人参加；6月1日下午，开展如皋市楹联创作和应用基础培训班，由中共如皋市委老干部局主办，如皋市诗词楹联学会、如皋市图书馆、如皋市老干部活动中心承办，共分8课时进行，聘请专家教授免费培训，近</w:t>
      </w:r>
      <w:r>
        <w:rPr>
          <w:rFonts w:hint="eastAsia" w:ascii="仿宋_GB2312" w:hAnsi="仿宋_GB2312" w:eastAsia="仿宋_GB2312" w:cs="仿宋_GB2312"/>
          <w:b w:val="0"/>
          <w:bCs/>
          <w:sz w:val="32"/>
          <w:szCs w:val="32"/>
          <w:lang w:val="en-US" w:eastAsia="zh-CN"/>
        </w:rPr>
        <w:t>200</w:t>
      </w:r>
      <w:r>
        <w:rPr>
          <w:rFonts w:hint="eastAsia" w:ascii="仿宋_GB2312" w:hAnsi="仿宋_GB2312" w:eastAsia="仿宋_GB2312" w:cs="仿宋_GB2312"/>
          <w:b w:val="0"/>
          <w:bCs/>
          <w:sz w:val="32"/>
          <w:szCs w:val="32"/>
          <w:lang w:eastAsia="zh-CN"/>
        </w:rPr>
        <w:t>人参与了培训；7月5日，开展暑期出行安全知识培训活动，近30多名父母及孩子参与培训；</w:t>
      </w:r>
      <w:r>
        <w:rPr>
          <w:rFonts w:hint="eastAsia" w:ascii="仿宋_GB2312" w:hAnsi="仿宋_GB2312" w:eastAsia="仿宋_GB2312" w:cs="仿宋_GB2312"/>
          <w:b w:val="0"/>
          <w:bCs/>
          <w:sz w:val="32"/>
          <w:szCs w:val="32"/>
          <w:lang w:val="en-US" w:eastAsia="zh-CN"/>
        </w:rPr>
        <w:t>7月至8月</w:t>
      </w:r>
      <w:r>
        <w:rPr>
          <w:rFonts w:hint="eastAsia" w:ascii="仿宋_GB2312" w:hAnsi="仿宋_GB2312" w:eastAsia="仿宋_GB2312" w:cs="仿宋_GB2312"/>
          <w:b w:val="0"/>
          <w:bCs/>
          <w:sz w:val="32"/>
          <w:szCs w:val="32"/>
          <w:lang w:eastAsia="zh-CN"/>
        </w:rPr>
        <w:t>举办“天下为公—中国共产党廉政建设”大型图片巡回展，由如皋市纪委监察局、如皋市文广新局联合举办，在市图书馆、市行政中心、如城便民服务中心、开发区、软件园、长江镇等地进行巡回展出，吸引五千人次；</w:t>
      </w:r>
      <w:r>
        <w:rPr>
          <w:rFonts w:hint="eastAsia" w:ascii="仿宋_GB2312" w:hAnsi="仿宋_GB2312" w:eastAsia="仿宋_GB2312" w:cs="仿宋_GB2312"/>
          <w:b w:val="0"/>
          <w:bCs/>
          <w:sz w:val="32"/>
          <w:szCs w:val="32"/>
          <w:lang w:val="en-US" w:eastAsia="zh-CN"/>
        </w:rPr>
        <w:t>12月</w:t>
      </w:r>
      <w:r>
        <w:rPr>
          <w:rFonts w:hint="eastAsia" w:ascii="仿宋_GB2312" w:hAnsi="仿宋_GB2312" w:eastAsia="仿宋_GB2312" w:cs="仿宋_GB2312"/>
          <w:b w:val="0"/>
          <w:bCs/>
          <w:sz w:val="32"/>
          <w:szCs w:val="32"/>
          <w:lang w:eastAsia="zh-CN"/>
        </w:rPr>
        <w:t>每周日下午2:00-4:00举办名著解析之《三国演义》讲座，由我馆与市雉水国学馆联合举办，共16课时，以12-18岁幼儿及家长1名为上课对象，邀请雉水国学馆韩老师担任主讲人；</w:t>
      </w:r>
      <w:r>
        <w:rPr>
          <w:rFonts w:hint="eastAsia" w:ascii="仿宋_GB2312" w:hAnsi="仿宋_GB2312" w:eastAsia="仿宋_GB2312" w:cs="仿宋_GB2312"/>
          <w:b w:val="0"/>
          <w:bCs/>
          <w:sz w:val="32"/>
          <w:szCs w:val="32"/>
          <w:lang w:val="en-US" w:eastAsia="zh-CN"/>
        </w:rPr>
        <w:t>12月</w:t>
      </w:r>
      <w:r>
        <w:rPr>
          <w:rFonts w:hint="eastAsia" w:ascii="仿宋_GB2312" w:hAnsi="仿宋_GB2312" w:eastAsia="仿宋_GB2312" w:cs="仿宋_GB2312"/>
          <w:b w:val="0"/>
          <w:bCs/>
          <w:sz w:val="32"/>
          <w:szCs w:val="32"/>
          <w:lang w:eastAsia="zh-CN"/>
        </w:rPr>
        <w:t>1日至15日，举办“阅读圆梦想 影像留书香”摄影作品展，共设10块展板，吸引近350人次观展；</w:t>
      </w:r>
      <w:r>
        <w:rPr>
          <w:rFonts w:hint="eastAsia" w:ascii="仿宋_GB2312" w:hAnsi="仿宋_GB2312" w:eastAsia="仿宋_GB2312" w:cs="仿宋_GB2312"/>
          <w:b w:val="0"/>
          <w:bCs/>
          <w:sz w:val="32"/>
          <w:szCs w:val="32"/>
          <w:lang w:val="en-US" w:eastAsia="zh-CN"/>
        </w:rPr>
        <w:t>12月</w:t>
      </w:r>
      <w:r>
        <w:rPr>
          <w:rFonts w:hint="eastAsia" w:ascii="仿宋_GB2312" w:hAnsi="仿宋_GB2312" w:eastAsia="仿宋_GB2312" w:cs="仿宋_GB2312"/>
          <w:b w:val="0"/>
          <w:bCs/>
          <w:sz w:val="32"/>
          <w:szCs w:val="32"/>
          <w:lang w:eastAsia="zh-CN"/>
        </w:rPr>
        <w:t>16日至30日，举办“美丽如皋”获奖摄影作品展，共设14块展板展出。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【“如皋市首届公共文化展示月”活动】</w:t>
      </w:r>
      <w:r>
        <w:rPr>
          <w:rFonts w:hint="eastAsia" w:ascii="仿宋_GB2312" w:hAnsi="仿宋_GB2312" w:eastAsia="仿宋_GB2312" w:cs="仿宋_GB2312"/>
          <w:b w:val="0"/>
          <w:bCs/>
          <w:sz w:val="32"/>
          <w:szCs w:val="32"/>
          <w:lang w:val="en-US" w:eastAsia="zh-CN"/>
        </w:rPr>
        <w:t>10月25日，</w:t>
      </w:r>
      <w:r>
        <w:rPr>
          <w:rFonts w:hint="eastAsia" w:ascii="仿宋_GB2312" w:hAnsi="仿宋_GB2312" w:eastAsia="仿宋_GB2312" w:cs="仿宋_GB2312"/>
          <w:b w:val="0"/>
          <w:bCs/>
          <w:sz w:val="32"/>
          <w:szCs w:val="32"/>
          <w:lang w:eastAsia="zh-CN"/>
        </w:rPr>
        <w:t>开展少儿航空绘画活动，共有来自小学一至六年级的80名学生，当天共收集到65幅少儿绘画作品；</w:t>
      </w:r>
      <w:r>
        <w:rPr>
          <w:rFonts w:hint="eastAsia" w:ascii="仿宋_GB2312" w:hAnsi="仿宋_GB2312" w:eastAsia="仿宋_GB2312" w:cs="仿宋_GB2312"/>
          <w:b w:val="0"/>
          <w:bCs/>
          <w:sz w:val="32"/>
          <w:szCs w:val="32"/>
          <w:lang w:val="en-US" w:eastAsia="zh-CN"/>
        </w:rPr>
        <w:t>10月</w:t>
      </w:r>
      <w:r>
        <w:rPr>
          <w:rFonts w:hint="eastAsia" w:ascii="仿宋_GB2312" w:hAnsi="仿宋_GB2312" w:eastAsia="仿宋_GB2312" w:cs="仿宋_GB2312"/>
          <w:b w:val="0"/>
          <w:bCs/>
          <w:sz w:val="32"/>
          <w:szCs w:val="32"/>
          <w:lang w:eastAsia="zh-CN"/>
        </w:rPr>
        <w:t>每周二、四下午举办“夕阳方舟”——老年人电脑免费培训班，近540人次参与了培训；</w:t>
      </w:r>
      <w:r>
        <w:rPr>
          <w:rFonts w:hint="eastAsia" w:ascii="仿宋_GB2312" w:hAnsi="仿宋_GB2312" w:eastAsia="仿宋_GB2312" w:cs="仿宋_GB2312"/>
          <w:b w:val="0"/>
          <w:bCs/>
          <w:sz w:val="32"/>
          <w:szCs w:val="32"/>
          <w:lang w:val="en-US" w:eastAsia="zh-CN"/>
        </w:rPr>
        <w:t>10月</w:t>
      </w:r>
      <w:r>
        <w:rPr>
          <w:rFonts w:hint="eastAsia" w:ascii="仿宋_GB2312" w:hAnsi="仿宋_GB2312" w:eastAsia="仿宋_GB2312" w:cs="仿宋_GB2312"/>
          <w:b w:val="0"/>
          <w:bCs/>
          <w:sz w:val="32"/>
          <w:szCs w:val="32"/>
          <w:lang w:eastAsia="zh-CN"/>
        </w:rPr>
        <w:t>每周二、三、四在孔庙、长巷、蒲行等如城街道部分社区开展“迷你图书馆进社区”活动，带去新书近</w:t>
      </w:r>
      <w:r>
        <w:rPr>
          <w:rFonts w:hint="eastAsia" w:ascii="仿宋_GB2312" w:hAnsi="仿宋_GB2312" w:eastAsia="仿宋_GB2312" w:cs="仿宋_GB2312"/>
          <w:b w:val="0"/>
          <w:bCs/>
          <w:sz w:val="32"/>
          <w:szCs w:val="32"/>
          <w:lang w:val="en-US" w:eastAsia="zh-CN"/>
        </w:rPr>
        <w:t>1500册，服务市民达上千人次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10月</w:t>
      </w:r>
      <w:r>
        <w:rPr>
          <w:rFonts w:hint="eastAsia" w:ascii="仿宋_GB2312" w:hAnsi="仿宋_GB2312" w:eastAsia="仿宋_GB2312" w:cs="仿宋_GB2312"/>
          <w:b w:val="0"/>
          <w:bCs/>
          <w:sz w:val="32"/>
          <w:szCs w:val="32"/>
          <w:lang w:eastAsia="zh-CN"/>
        </w:rPr>
        <w:t>开展馆藏珍贵古籍图片展，选取13部进入国家和省珍贵古籍名录的馆藏珍贵古籍向市民宣传介绍。</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【开展党的群众路线教育实践活动】</w:t>
      </w:r>
      <w:r>
        <w:rPr>
          <w:rFonts w:hint="eastAsia" w:ascii="仿宋_GB2312" w:hAnsi="仿宋_GB2312" w:eastAsia="仿宋_GB2312" w:cs="仿宋_GB2312"/>
          <w:b w:val="0"/>
          <w:bCs/>
          <w:sz w:val="32"/>
          <w:szCs w:val="32"/>
          <w:lang w:eastAsia="zh-CN"/>
        </w:rPr>
        <w:t>①</w:t>
      </w:r>
      <w:r>
        <w:rPr>
          <w:rFonts w:hint="eastAsia" w:ascii="仿宋_GB2312" w:hAnsi="仿宋_GB2312" w:eastAsia="仿宋_GB2312" w:cs="仿宋_GB2312"/>
          <w:b w:val="0"/>
          <w:bCs/>
          <w:sz w:val="32"/>
          <w:szCs w:val="32"/>
          <w:lang w:val="en-US" w:eastAsia="zh-CN"/>
        </w:rPr>
        <w:t>3月8日</w:t>
      </w:r>
      <w:r>
        <w:rPr>
          <w:rFonts w:hint="eastAsia" w:ascii="仿宋_GB2312" w:hAnsi="仿宋_GB2312" w:eastAsia="仿宋_GB2312" w:cs="仿宋_GB2312"/>
          <w:b w:val="0"/>
          <w:bCs/>
          <w:sz w:val="32"/>
          <w:szCs w:val="32"/>
          <w:lang w:eastAsia="zh-CN"/>
        </w:rPr>
        <w:t>举办“三八”妇女节军属女职工联谊会，就如何以军民共建促进图书馆建设，更好地提高图书馆的服务质量，如何协调家庭与事业的两难，维护女职工的权益等问题进行了讨论。②</w:t>
      </w:r>
      <w:r>
        <w:rPr>
          <w:rFonts w:hint="eastAsia" w:ascii="仿宋_GB2312" w:hAnsi="仿宋_GB2312" w:eastAsia="仿宋_GB2312" w:cs="仿宋_GB2312"/>
          <w:b w:val="0"/>
          <w:bCs/>
          <w:sz w:val="32"/>
          <w:szCs w:val="32"/>
          <w:lang w:val="en-US" w:eastAsia="zh-CN"/>
        </w:rPr>
        <w:t>4月</w:t>
      </w:r>
      <w:r>
        <w:rPr>
          <w:rFonts w:hint="eastAsia" w:ascii="仿宋_GB2312" w:hAnsi="仿宋_GB2312" w:eastAsia="仿宋_GB2312" w:cs="仿宋_GB2312"/>
          <w:b w:val="0"/>
          <w:bCs/>
          <w:sz w:val="32"/>
          <w:szCs w:val="32"/>
          <w:lang w:eastAsia="zh-CN"/>
        </w:rPr>
        <w:t>3日上午，我馆全体党员到烈士陵园参加了市文广新局开展的“缅怀革命先烈，重温入党誓词”活动。我馆石燕作为党员代表作了演讲。活动后，每位党员撰写了“面对革命先烈，我想到了什么？”为主题的心得体会。③8月15日上午8:30，我馆在三楼会议室召开全体党员会议。南通市和如皋市委两级党的群众路线督察小组来馆督察，文广新局姚局长、冒局长、郭主任参加了会议，领导们对我馆党支部的专题组织生活会和民主评议党员环节给予了充分肯定和高度评价。④坚持利用每周三下午闭馆学习时间，组织全体人员观看了《大无大有——身边人眼中的周恩来》、《刘荣贵》、《张云泉》、《廉政中国》系列等党的群众路线教育实践教材影片，引导全体员工牢固树立为民服务意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三送工程】</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个镇，每个镇配送了</w:t>
      </w:r>
      <w:r>
        <w:rPr>
          <w:rFonts w:hint="eastAsia" w:ascii="仿宋_GB2312" w:hAnsi="仿宋_GB2312" w:eastAsia="仿宋_GB2312" w:cs="仿宋_GB2312"/>
          <w:sz w:val="32"/>
          <w:szCs w:val="32"/>
          <w:lang w:val="en-US" w:eastAsia="zh-CN"/>
        </w:rPr>
        <w:t>1562</w:t>
      </w:r>
      <w:r>
        <w:rPr>
          <w:rFonts w:hint="eastAsia" w:ascii="仿宋_GB2312" w:hAnsi="仿宋_GB2312" w:eastAsia="仿宋_GB2312" w:cs="仿宋_GB2312"/>
          <w:sz w:val="32"/>
          <w:szCs w:val="32"/>
          <w:lang w:eastAsia="zh-CN"/>
        </w:rPr>
        <w:t>册图书，并将编印的《农业科技》、《致富信息》等二次文献送到村民手中。</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【成立图书馆分馆】</w:t>
      </w:r>
      <w:r>
        <w:rPr>
          <w:rFonts w:hint="eastAsia" w:ascii="仿宋_GB2312" w:hAnsi="仿宋_GB2312" w:eastAsia="仿宋_GB2312" w:cs="仿宋_GB2312"/>
          <w:sz w:val="32"/>
          <w:szCs w:val="32"/>
          <w:lang w:val="en-US" w:eastAsia="zh-CN"/>
        </w:rPr>
        <w:t>2014年，如皋市图书馆实现了对我市14个镇分馆建设统一标识、统一管理、统一平台，同时以村级农家书屋为基层点，将60%的村纳入服务网络，安装图书管理软件，并对村级图书管理员进行定期业务辅导，实现业务统一管理和一体化服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【四化改革】</w:t>
      </w:r>
      <w:r>
        <w:rPr>
          <w:rFonts w:hint="eastAsia" w:ascii="仿宋_GB2312" w:hAnsi="仿宋_GB2312" w:eastAsia="仿宋_GB2312" w:cs="仿宋_GB2312"/>
          <w:sz w:val="32"/>
          <w:szCs w:val="32"/>
          <w:lang w:val="en-US" w:eastAsia="zh-CN"/>
        </w:rPr>
        <w:t>协调配合做好我市少年儿童图书馆各功能室的正式对外开放，陆续招聘了“191”人员和社会用工。地方文献室、参考咨询室等相继正常对外开放，信息资源共享工程播放室坚持每天免费播放视频资源。4月初，增加中午免费对外开放时间，使每天免费对外开放达到9小时。11月份，将少儿借阅室和成人借阅室合并为借阅部，由一位负责人统一管理。此外组织人员参加2014年中国图书馆学会年会征文，获得二等奖1篇；参加川、吉、苏、冀、桂五省（区）图书馆学会第十四届学术研讨会，获得三等奖1篇。</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【资源建设】</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sz w:val="32"/>
          <w:szCs w:val="32"/>
          <w:lang w:val="en-US" w:eastAsia="zh-CN"/>
        </w:rPr>
        <w:t>组织开展全国古籍普查登记工作，共整理出相对完好的古籍普查数据2千多条目，2万7千余册。二是推动数字资源建设，采购大众图创电子连环画6000册少儿数据资源，以及上业公司的部分数据库资源。同时通过积极的努力，争取到南通市图书馆和本地区其他县市馆的数字资源共建共享，极大的满足广大读者的阅读需求。</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【荣誉获奖】</w:t>
      </w:r>
      <w:r>
        <w:rPr>
          <w:rFonts w:hint="eastAsia" w:ascii="仿宋_GB2312" w:hAnsi="仿宋_GB2312" w:eastAsia="仿宋_GB2312" w:cs="仿宋_GB2312"/>
          <w:sz w:val="32"/>
          <w:szCs w:val="32"/>
          <w:lang w:val="en-US" w:eastAsia="zh-CN"/>
        </w:rPr>
        <w:t>被中国图书馆学会授予“2013年全民阅读活动先进单位奖”，荣获江苏省第四届“服务农民、服务基层”先进集体称号、江苏文化厅“第六届公共图书馆优秀服务成果三等奖”，成功入选江苏省古籍收藏单位、江苏省科普教育基地、如皋市“无烟单位”，开展的“爱心图书村小漂流”活动被评为“如皋市全民阅读十佳品牌”。</w:t>
      </w:r>
    </w:p>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hruti">
    <w:altName w:val="Sitka Text"/>
    <w:panose1 w:val="020005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行楷简体">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Verdana, Arial, 宋体">
    <w:altName w:val="宋体"/>
    <w:panose1 w:val="00000000000000000000"/>
    <w:charset w:val="86"/>
    <w:family w:val="roman"/>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彩云">
    <w:altName w:val="宋体"/>
    <w:panose1 w:val="02010800040101010101"/>
    <w:charset w:val="86"/>
    <w:family w:val="auto"/>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方正楷体_GBK">
    <w:altName w:val="方正兰亭超细黑简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方正黑体_GBK">
    <w:altName w:val="方正兰亭超细黑简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Guli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新宋体-18030">
    <w:altName w:val="宋体"/>
    <w:panose1 w:val="02010609060101010101"/>
    <w:charset w:val="86"/>
    <w:family w:val="modern"/>
    <w:pitch w:val="default"/>
    <w:sig w:usb0="00000000" w:usb1="00000000" w:usb2="000A005E" w:usb3="00000000" w:csb0="00040001" w:csb1="00000000"/>
  </w:font>
  <w:font w:name="Latha">
    <w:altName w:val="Segoe UI Semilight"/>
    <w:panose1 w:val="02000400000000000000"/>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Kai">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Copperplate Gothic Bold">
    <w:altName w:val="Segoe Print"/>
    <w:panose1 w:val="020E0705020206020404"/>
    <w:charset w:val="00"/>
    <w:family w:val="auto"/>
    <w:pitch w:val="default"/>
    <w:sig w:usb0="00000000" w:usb1="00000000" w:usb2="00000000" w:usb3="00000000" w:csb0="20000001" w:csb1="00000000"/>
  </w:font>
  <w:font w:name="Eras Light ITC">
    <w:altName w:val="Yu Gothic UI Semilight"/>
    <w:panose1 w:val="020B04020305040208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A67E9"/>
    <w:rsid w:val="2A875CA6"/>
    <w:rsid w:val="5BC230A9"/>
    <w:rsid w:val="7667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oleObject" Target="file:///C:\Documents%20and%20Settings\Administrator\&#26700;&#38754;\&#24037;&#20316;&#31807;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Documents%20and%20Settings\Administrator\&#26700;&#38754;\&#19968;&#32423;&#39302;&#30003;&#25253;&#36164;&#26009;\&#25216;&#26415;&#37096;&#31532;&#20108;&#37096;&#20998;\2.12.1&#19994;&#21153;&#32479;&#35745;&#20998;&#26512;\&#26032;&#24314;%20Microsoft%20Excel%2097-2003%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19968;&#32423;&#39302;&#30003;&#25253;&#36164;&#26009;\&#25216;&#26415;&#37096;&#31532;&#20108;&#37096;&#20998;\2.12.3&#29992;&#25143;&#31649;&#29702;\60&#21069;&#300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cap="none" spc="20" baseline="0">
                <a:solidFill>
                  <a:srgbClr val="808080">
                    <a:lumMod val="50000"/>
                    <a:lumOff val="50000"/>
                  </a:srgbClr>
                </a:solidFill>
                <a:latin typeface="+mn-lt"/>
                <a:ea typeface="+mn-ea"/>
                <a:cs typeface="+mn-cs"/>
              </a:defRPr>
            </a:pPr>
            <a:r>
              <a:rPr lang="en-US" altLang="zh-CN"/>
              <a:t>2014</a:t>
            </a:r>
            <a:r>
              <a:rPr altLang="en-US"/>
              <a:t>年经费使用情况（万元）</a:t>
            </a:r>
            <a:endParaRPr altLang="en-US"/>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rgbClr val="A3C4FF">
                      <a:tint val="50000"/>
                      <a:satMod val="300000"/>
                    </a:srgbClr>
                  </a:gs>
                  <a:gs pos="35000">
                    <a:srgbClr val="BFD5FF">
                      <a:tint val="37000"/>
                      <a:satMod val="300000"/>
                    </a:srgbClr>
                  </a:gs>
                  <a:gs pos="100000">
                    <a:srgbClr val="E5EEFF">
                      <a:tint val="15000"/>
                      <a:satMod val="350000"/>
                    </a:srgbClr>
                  </a:gs>
                </a:gsLst>
                <a:lin ang="16200000" scaled="1"/>
              </a:gradFill>
              <a:ln w="9525" cap="flat" cmpd="sng" algn="ctr">
                <a:solidFill>
                  <a:srgbClr val="4D7EB9">
                    <a:shade val="95000"/>
                  </a:srgbClr>
                </a:solidFill>
                <a:round/>
              </a:ln>
              <a:effectLst>
                <a:outerShdw blurRad="40000" dist="20000" dir="5400000" rotWithShape="0">
                  <a:srgbClr val="000000">
                    <a:alpha val="38000"/>
                  </a:srgbClr>
                </a:outerShdw>
              </a:effectLst>
            </c:spPr>
          </c:dPt>
          <c:dPt>
            <c:idx val="1"/>
            <c:bubble3D val="0"/>
            <c:spPr>
              <a:gradFill rotWithShape="1">
                <a:gsLst>
                  <a:gs pos="0">
                    <a:srgbClr val="DAFDA7">
                      <a:tint val="50000"/>
                      <a:satMod val="300000"/>
                    </a:srgbClr>
                  </a:gs>
                  <a:gs pos="35000">
                    <a:srgbClr val="E4FDC2">
                      <a:tint val="37000"/>
                      <a:satMod val="300000"/>
                    </a:srgbClr>
                  </a:gs>
                  <a:gs pos="100000">
                    <a:srgbClr val="F5FFE6">
                      <a:tint val="15000"/>
                      <a:satMod val="350000"/>
                    </a:srgbClr>
                  </a:gs>
                </a:gsLst>
                <a:lin ang="16200000" scaled="1"/>
              </a:gradFill>
              <a:ln w="9525" cap="flat" cmpd="sng" algn="ctr">
                <a:solidFill>
                  <a:srgbClr val="97B757">
                    <a:shade val="95000"/>
                  </a:srgbClr>
                </a:solidFill>
                <a:round/>
              </a:ln>
              <a:effectLst>
                <a:outerShdw blurRad="40000" dist="20000" dir="5400000" rotWithShape="0">
                  <a:srgbClr val="000000">
                    <a:alpha val="38000"/>
                  </a:srgbClr>
                </a:outerShdw>
              </a:effectLst>
            </c:spPr>
          </c:dPt>
          <c:dPt>
            <c:idx val="2"/>
            <c:bubble3D val="0"/>
            <c:spPr>
              <a:gradFill rotWithShape="1">
                <a:gsLst>
                  <a:gs pos="0">
                    <a:srgbClr val="9EEAFF">
                      <a:tint val="50000"/>
                      <a:satMod val="300000"/>
                    </a:srgbClr>
                  </a:gs>
                  <a:gs pos="35000">
                    <a:srgbClr val="BBEFFF">
                      <a:tint val="37000"/>
                      <a:satMod val="300000"/>
                    </a:srgbClr>
                  </a:gs>
                  <a:gs pos="100000">
                    <a:srgbClr val="E4F9FF">
                      <a:tint val="15000"/>
                      <a:satMod val="350000"/>
                    </a:srgbClr>
                  </a:gs>
                </a:gsLst>
                <a:lin ang="16200000" scaled="1"/>
              </a:gradFill>
              <a:ln w="9525" cap="flat" cmpd="sng" algn="ctr">
                <a:solidFill>
                  <a:srgbClr val="49A8C2">
                    <a:shade val="95000"/>
                  </a:srgbClr>
                </a:solidFill>
                <a:round/>
              </a:ln>
              <a:effectLst>
                <a:outerShdw blurRad="40000" dist="20000" dir="5400000" rotWithShape="0">
                  <a:srgbClr val="000000">
                    <a:alpha val="38000"/>
                  </a:srgbClr>
                </a:outerShdw>
              </a:effectLst>
            </c:spPr>
          </c:dPt>
          <c:dPt>
            <c:idx val="3"/>
            <c:bubble3D val="0"/>
            <c:spPr>
              <a:gradFill rotWithShape="1">
                <a:gsLst>
                  <a:gs pos="0">
                    <a:srgbClr val="B1BED6">
                      <a:lumMod val="60000"/>
                      <a:tint val="50000"/>
                      <a:satMod val="300000"/>
                    </a:srgbClr>
                  </a:gs>
                  <a:gs pos="35000">
                    <a:srgbClr val="C9D1E1">
                      <a:lumMod val="60000"/>
                      <a:tint val="37000"/>
                      <a:satMod val="300000"/>
                    </a:srgbClr>
                  </a:gs>
                  <a:gs pos="100000">
                    <a:srgbClr val="EAEEF4">
                      <a:lumMod val="60000"/>
                      <a:tint val="15000"/>
                      <a:satMod val="350000"/>
                    </a:srgbClr>
                  </a:gs>
                </a:gsLst>
                <a:lin ang="16200000" scaled="1"/>
              </a:gradFill>
              <a:ln w="9525" cap="flat" cmpd="sng" algn="ctr">
                <a:solidFill>
                  <a:srgbClr val="2B4B72">
                    <a:lumMod val="60000"/>
                    <a:shade val="95000"/>
                  </a:srgbClr>
                </a:solidFill>
                <a:round/>
              </a:ln>
              <a:effectLst>
                <a:outerShdw blurRad="40000" dist="20000" dir="5400000" rotWithShape="0">
                  <a:srgbClr val="000000">
                    <a:alpha val="38000"/>
                  </a:srgbClr>
                </a:outerShdw>
              </a:effectLst>
            </c:spPr>
          </c:dPt>
          <c:dPt>
            <c:idx val="4"/>
            <c:bubble3D val="0"/>
            <c:spPr>
              <a:gradFill rotWithShape="1">
                <a:gsLst>
                  <a:gs pos="0">
                    <a:srgbClr val="C7D6B2">
                      <a:lumMod val="60000"/>
                      <a:tint val="50000"/>
                      <a:satMod val="300000"/>
                    </a:srgbClr>
                  </a:gs>
                  <a:gs pos="35000">
                    <a:srgbClr val="D7E1CA">
                      <a:lumMod val="60000"/>
                      <a:tint val="37000"/>
                      <a:satMod val="300000"/>
                    </a:srgbClr>
                  </a:gs>
                  <a:gs pos="100000">
                    <a:srgbClr val="F0F4EB">
                      <a:lumMod val="60000"/>
                      <a:tint val="15000"/>
                      <a:satMod val="350000"/>
                    </a:srgbClr>
                  </a:gs>
                </a:gsLst>
                <a:lin ang="16200000" scaled="1"/>
              </a:gradFill>
              <a:ln w="9525" cap="flat" cmpd="sng" algn="ctr">
                <a:solidFill>
                  <a:srgbClr val="5D732F">
                    <a:lumMod val="60000"/>
                    <a:shade val="95000"/>
                  </a:srgbClr>
                </a:solidFill>
                <a:round/>
              </a:ln>
              <a:effectLst>
                <a:outerShdw blurRad="40000" dist="20000" dir="5400000" rotWithShape="0">
                  <a:srgbClr val="000000">
                    <a:alpha val="38000"/>
                  </a:srgbClr>
                </a:outerShdw>
              </a:effectLst>
            </c:spPr>
          </c:dPt>
          <c:dLbls>
            <c:numFmt formatCode="General" sourceLinked="1"/>
            <c:spPr>
              <a:solidFill>
                <a:sysClr val="windowText" lastClr="000000"/>
              </a:solidFill>
              <a:ln w="12700" cap="flat" cmpd="sng" algn="ctr">
                <a:solidFill>
                  <a:sysClr val="windowText" lastClr="000000">
                    <a:shade val="50000"/>
                  </a:sysClr>
                </a:solidFill>
                <a:prstDash val="solid"/>
                <a:miter lim="800000"/>
              </a:ln>
              <a:effectLst/>
              <a:sp3d>
                <a:extrusionClr>
                  <a:srgbClr val="FFFFFF"/>
                </a:extrusionClr>
                <a:contourClr>
                  <a:srgbClr val="FFFFFF"/>
                </a:contourClr>
              </a:sp3d>
            </c:spPr>
            <c:txPr>
              <a:bodyPr rot="0" spcFirstLastPara="0" vertOverflow="ellipsis" vert="horz" wrap="square" lIns="38100" tIns="19050" rIns="38100" bIns="19050" anchor="ctr" anchorCtr="1" forceAA="0"/>
              <a:lstStyle/>
              <a:p>
                <a:pPr>
                  <a:defRPr lang="zh-CN" sz="900" b="0" i="0" u="none" strike="noStrike" kern="1200" baseline="0">
                    <a:solidFill>
                      <a:srgbClr val="FFFFFF"/>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cat>
            <c:strRef>
              <c:f>[工作簿2.xlsx]Sheet1!$A$42:$A$46</c:f>
              <c:strCache>
                <c:ptCount val="5"/>
                <c:pt idx="0">
                  <c:v>项目支出即购书经费</c:v>
                </c:pt>
                <c:pt idx="1">
                  <c:v>数字化建设</c:v>
                </c:pt>
                <c:pt idx="2">
                  <c:v>古籍维护</c:v>
                </c:pt>
                <c:pt idx="3">
                  <c:v>网络维护包括共享工程</c:v>
                </c:pt>
                <c:pt idx="4">
                  <c:v>活动经费</c:v>
                </c:pt>
              </c:strCache>
            </c:strRef>
          </c:cat>
          <c:val>
            <c:numRef>
              <c:f>[工作簿2.xlsx]Sheet1!$B$42:$B$46</c:f>
              <c:numCache>
                <c:formatCode>General</c:formatCode>
                <c:ptCount val="5"/>
                <c:pt idx="0">
                  <c:v>100</c:v>
                </c:pt>
                <c:pt idx="1">
                  <c:v>15</c:v>
                </c:pt>
                <c:pt idx="2">
                  <c:v>5</c:v>
                </c:pt>
                <c:pt idx="3">
                  <c:v>13.5</c:v>
                </c:pt>
                <c:pt idx="4">
                  <c:v>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808080">
                  <a:lumMod val="50000"/>
                  <a:lumOff val="50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 Microsoft Excel 97-2003 工作表.xls]Sheet1'!$B$1</c:f>
              <c:strCache>
                <c:ptCount val="1"/>
                <c:pt idx="0">
                  <c:v>持证读者数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dispRSqr val="0"/>
            <c:dispEq val="0"/>
          </c:trendline>
          <c:cat>
            <c:strRef>
              <c:f>'[新建 Microsoft Excel 97-2003 工作表.xls]Sheet1'!$A$2:$A$5</c:f>
              <c:strCache>
                <c:ptCount val="4"/>
                <c:pt idx="0">
                  <c:v>2013年</c:v>
                </c:pt>
                <c:pt idx="1">
                  <c:v>2014年</c:v>
                </c:pt>
                <c:pt idx="2">
                  <c:v>2015年</c:v>
                </c:pt>
                <c:pt idx="3">
                  <c:v>2016年</c:v>
                </c:pt>
              </c:strCache>
            </c:strRef>
          </c:cat>
          <c:val>
            <c:numRef>
              <c:f>'[新建 Microsoft Excel 97-2003 工作表.xls]Sheet1'!$B$2:$B$5</c:f>
              <c:numCache>
                <c:formatCode>General</c:formatCode>
                <c:ptCount val="4"/>
                <c:pt idx="0">
                  <c:v>18537</c:v>
                </c:pt>
                <c:pt idx="1">
                  <c:v>28280</c:v>
                </c:pt>
                <c:pt idx="2">
                  <c:v>53539</c:v>
                </c:pt>
                <c:pt idx="3">
                  <c:v>63873</c:v>
                </c:pt>
              </c:numCache>
            </c:numRef>
          </c:val>
        </c:ser>
        <c:dLbls>
          <c:showLegendKey val="0"/>
          <c:showVal val="1"/>
          <c:showCatName val="0"/>
          <c:showSerName val="0"/>
          <c:showPercent val="0"/>
          <c:showBubbleSize val="0"/>
        </c:dLbls>
        <c:gapWidth val="65"/>
        <c:overlap val="0"/>
        <c:axId val="119847479"/>
        <c:axId val="996098427"/>
      </c:barChart>
      <c:catAx>
        <c:axId val="119847479"/>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996098427"/>
        <c:crosses val="autoZero"/>
        <c:auto val="1"/>
        <c:lblAlgn val="ctr"/>
        <c:lblOffset val="100"/>
        <c:noMultiLvlLbl val="0"/>
      </c:catAx>
      <c:valAx>
        <c:axId val="99609842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119847479"/>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如皋市图书馆持证读者性别群体分析</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[60前男.xls]Sheet1!$F$289:$F$290</c:f>
              <c:strCache>
                <c:ptCount val="2"/>
                <c:pt idx="0">
                  <c:v>男性读者</c:v>
                </c:pt>
                <c:pt idx="1">
                  <c:v>女性读者</c:v>
                </c:pt>
              </c:strCache>
            </c:strRef>
          </c:cat>
          <c:val>
            <c:numRef>
              <c:f>[60前男.xls]Sheet1!$G$289:$G$290</c:f>
              <c:numCache>
                <c:formatCode>General</c:formatCode>
                <c:ptCount val="2"/>
                <c:pt idx="0">
                  <c:v>32548</c:v>
                </c:pt>
                <c:pt idx="1">
                  <c:v>25619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rgbClr val="4F81BD"/>
  <a:srgbClr val="9BBB59"/>
  <a:srgbClr val="4BACC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rgbClr val="808080">
        <a:lumMod val="50000"/>
        <a:lumOff val="50000"/>
      </a:srgbClr>
    </cs:fontRef>
    <cs:defRPr sz="900" kern="1200" cap="all"/>
  </cs:axisTitle>
  <cs:categoryAxis>
    <cs:lnRef idx="0"/>
    <cs:fillRef idx="0"/>
    <cs:effectRef idx="0"/>
    <cs:fontRef idx="minor">
      <a:srgbClr val="808080">
        <a:lumMod val="50000"/>
        <a:lumOff val="50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595959">
        <a:lumMod val="65000"/>
        <a:lumOff val="3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rgbClr val="000000"/>
    </cs:fontRef>
    <cs:spPr>
      <a:ln w="9525" cap="flat" cmpd="sng" algn="ctr">
        <a:solidFill>
          <a:srgbClr val="F9F9F9">
            <a:shade val="95000"/>
          </a:srgbClr>
        </a:solidFill>
        <a:round/>
      </a:ln>
    </cs:spPr>
  </cs:dataPoint>
  <cs:dataPoint3D>
    <cs:lnRef idx="0"/>
    <cs:fillRef idx="2">
      <cs:styleClr val="auto"/>
    </cs:fillRef>
    <cs:effectRef idx="1"/>
    <cs:fontRef idx="minor">
      <a:srgbClr val="000000"/>
    </cs:fontRef>
  </cs:dataPoint3D>
  <cs:dataPointLine>
    <cs:lnRef idx="0">
      <cs:styleClr val="auto"/>
    </cs:lnRef>
    <cs:fillRef idx="2">
      <cs:styleClr val="auto"/>
    </cs:fillRef>
    <cs:effectRef idx="1"/>
    <cs:fontRef idx="minor">
      <a:srgbClr val="000000"/>
    </cs:fontRef>
    <cs:spPr>
      <a:ln w="15875" cap="rnd">
        <a:solidFill>
          <a:srgbClr val="FFFFFF"/>
        </a:solidFill>
        <a:round/>
      </a:ln>
    </cs:spPr>
  </cs:dataPointLine>
  <cs:dataPointMarker>
    <cs:lnRef idx="0">
      <cs:styleClr val="auto"/>
    </cs:lnRef>
    <cs:fillRef idx="2">
      <cs:styleClr val="auto"/>
    </cs:fillRef>
    <cs:effectRef idx="1"/>
    <cs:fontRef idx="minor">
      <a:srgbClr val="000000"/>
    </cs:fontRef>
    <cs:spPr>
      <a:ln w="9525" cap="flat" cmpd="sng" algn="ctr">
        <a:solidFill>
          <a:srgbClr val="F9F9F9">
            <a:shade val="95000"/>
          </a:srgbClr>
        </a:solidFill>
        <a:round/>
      </a:ln>
    </cs:spPr>
  </cs:dataPointMarker>
  <cs:dataPointMarkerLayout symbol="circle" size="4"/>
  <cs:dataPointWireframe>
    <cs:lnRef idx="0">
      <cs:styleClr val="auto"/>
    </cs:lnRef>
    <cs:fillRef idx="2"/>
    <cs:effectRef idx="0"/>
    <cs:fontRef idx="minor">
      <a:srgbClr val="000000"/>
    </cs:fontRef>
    <cs:spPr>
      <a:ln w="9525" cap="rnd">
        <a:solidFill>
          <a:srgbClr val="FFFFFF"/>
        </a:solidFill>
        <a:round/>
      </a:ln>
    </cs:spPr>
  </cs:dataPointWireframe>
  <cs:dataTable>
    <cs:lnRef idx="0"/>
    <cs:fillRef idx="0"/>
    <cs:effectRef idx="0"/>
    <cs:fontRef idx="minor">
      <a:srgbClr val="808080">
        <a:lumMod val="50000"/>
        <a:lumOff val="50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808080">
            <a:lumMod val="50000"/>
            <a:lumOff val="50000"/>
          </a:srgbClr>
        </a:solidFill>
      </a:ln>
    </cs:spPr>
  </cs:downBar>
  <cs:dropLine>
    <cs:lnRef idx="0"/>
    <cs:fillRef idx="0"/>
    <cs:effectRef idx="0"/>
    <cs:fontRef idx="minor">
      <a:srgbClr val="000000"/>
    </cs:fontRef>
    <cs:spPr>
      <a:ln w="9525">
        <a:solidFill>
          <a:srgbClr val="A6A6A6">
            <a:lumMod val="35000"/>
            <a:lumOff val="65000"/>
          </a:srgbClr>
        </a:solidFill>
        <a:prstDash val="dash"/>
      </a:ln>
    </cs:spPr>
  </cs:dropLine>
  <cs:errorBar>
    <cs:lnRef idx="0"/>
    <cs:fillRef idx="0"/>
    <cs:effectRef idx="0"/>
    <cs:fontRef idx="minor">
      <a:srgbClr val="000000"/>
    </cs:fontRef>
    <cs:spPr>
      <a:ln w="9525">
        <a:solidFill>
          <a:srgbClr val="808080">
            <a:lumMod val="50000"/>
            <a:lumOff val="50000"/>
          </a:srgbClr>
        </a:solidFill>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808080">
            <a:lumMod val="50000"/>
            <a:lumOff val="50000"/>
          </a:srgbClr>
        </a:solidFill>
        <a:prstDash val="dash"/>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808080">
        <a:lumMod val="50000"/>
        <a:lumOff val="50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808080">
        <a:lumMod val="50000"/>
        <a:lumOff val="50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a:solidFill>
          <a:srgbClr val="A6A6A6">
            <a:lumMod val="35000"/>
            <a:lumOff val="65000"/>
          </a:srgbClr>
        </a:solidFill>
        <a:prstDash val="dash"/>
      </a:ln>
    </cs:spPr>
  </cs:seriesLine>
  <cs:title>
    <cs:lnRef idx="0"/>
    <cs:fillRef idx="0"/>
    <cs:effectRef idx="0"/>
    <cs:fontRef idx="minor">
      <a:srgbClr val="808080">
        <a:lumMod val="50000"/>
        <a:lumOff val="50000"/>
      </a:srgbClr>
    </cs:fontRef>
    <cs:defRPr sz="1400" kern="1200" cap="none" spc="20" baseline="0"/>
  </cs:title>
  <cs:trendline>
    <cs:lnRef idx="0">
      <cs:styleClr val="auto"/>
    </cs:lnRef>
    <cs:fillRef idx="2"/>
    <cs:effectRef idx="0"/>
    <cs:fontRef idx="minor">
      <a:srgbClr val="000000"/>
    </cs:fontRef>
    <cs:spPr>
      <a:ln w="9525" cap="rnd">
        <a:solidFill>
          <a:srgbClr val="FFFFFF"/>
        </a:solidFill>
      </a:ln>
    </cs:spPr>
  </cs:trendline>
  <cs:trendlineLabel>
    <cs:lnRef idx="0"/>
    <cs:fillRef idx="0"/>
    <cs:effectRef idx="0"/>
    <cs:fontRef idx="minor">
      <a:srgbClr val="808080">
        <a:lumMod val="50000"/>
        <a:lumOff val="50000"/>
      </a:srgbClr>
    </cs:fontRef>
    <cs:defRPr sz="900" kern="1200"/>
  </cs:trendlineLabel>
  <cs:upBar>
    <cs:lnRef idx="0"/>
    <cs:fillRef idx="0"/>
    <cs:effectRef idx="0"/>
    <cs:fontRef idx="minor">
      <a:srgbClr val="000000"/>
    </cs:fontRef>
    <cs:spPr>
      <a:solidFill>
        <a:srgbClr val="FFFFFF"/>
      </a:solidFill>
      <a:ln w="9525">
        <a:solidFill>
          <a:srgbClr val="808080">
            <a:lumMod val="50000"/>
            <a:lumOff val="50000"/>
          </a:srgbClr>
        </a:solidFill>
      </a:ln>
    </cs:spPr>
  </cs:upBar>
  <cs:valueAxis>
    <cs:lnRef idx="0"/>
    <cs:fillRef idx="0"/>
    <cs:effectRef idx="0"/>
    <cs:fontRef idx="minor">
      <a:srgbClr val="808080">
        <a:lumMod val="50000"/>
        <a:lumOff val="50000"/>
      </a:srgbClr>
    </cs:fontRef>
    <cs:defRPr sz="900" kern="1200"/>
  </cs:valueAxis>
  <cs:wall>
    <cs:lnRef idx="0"/>
    <cs:fillRef idx="0"/>
    <cs:effectRef idx="0"/>
    <cs:fontRef idx="minor">
      <a:srgbClr val="000000"/>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soeasy">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2676E1"/>
    </a:accent6>
    <a:hlink>
      <a:srgbClr val="FF0000"/>
    </a:hlink>
    <a:folHlink>
      <a:srgbClr val="A5A5A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gradFill rotWithShape="1">
        <a:gsLst>
          <a:gs pos="0">
            <a:srgbClr val="BDBDBD">
              <a:shade val="51000"/>
              <a:satMod val="130000"/>
            </a:srgbClr>
          </a:gs>
          <a:gs pos="80000">
            <a:srgbClr val="F7F7F7">
              <a:shade val="93000"/>
              <a:satMod val="130000"/>
            </a:srgbClr>
          </a:gs>
          <a:gs pos="100000">
            <a:srgbClr val="F8F8F8">
              <a:shade val="94000"/>
              <a:satMod val="135000"/>
            </a:srgbClr>
          </a:gs>
        </a:gsLst>
        <a:lin ang="16200000" scaled="0"/>
      </a:gradFill>
    </a:fillStyleLst>
    <a:lnStyleLst>
      <a:ln w="9525" cap="flat" cmpd="sng" algn="ctr">
        <a:solidFill>
          <a:srgbClr val="F9F9F9">
            <a:shade val="95000"/>
            <a:satMod val="105000"/>
          </a:srgbClr>
        </a:solidFill>
        <a:prstDash val="solid"/>
      </a:ln>
      <a:ln w="25400" cap="flat" cmpd="sng" algn="ctr">
        <a:solidFill>
          <a:srgbClr val="FFFFFF"/>
        </a:solidFill>
        <a:prstDash val="solid"/>
      </a:ln>
      <a:ln w="38100" cap="flat" cmpd="sng" algn="ctr">
        <a:solidFill>
          <a:srgbClr val="FFFFFF"/>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rgbClr val="FFFFFF"/>
      </a:solidFill>
      <a:gradFill rotWithShape="1">
        <a:gsLst>
          <a:gs pos="0">
            <a:srgbClr val="FFFFFF">
              <a:tint val="40000"/>
              <a:satMod val="350000"/>
            </a:srgbClr>
          </a:gs>
          <a:gs pos="40000">
            <a:srgbClr val="FEFEFE">
              <a:tint val="45000"/>
              <a:shade val="99000"/>
              <a:satMod val="350000"/>
            </a:srgbClr>
          </a:gs>
          <a:gs pos="100000">
            <a:srgbClr val="7C7C7C">
              <a:shade val="20000"/>
              <a:satMod val="255000"/>
            </a:srgbClr>
          </a:gs>
        </a:gsLst>
        <a:path path="circle">
          <a:fillToRect l="50000" t="-80000" r="50000" b="180000"/>
        </a:path>
      </a:gradFill>
      <a:gradFill rotWithShape="1">
        <a:gsLst>
          <a:gs pos="0">
            <a:srgbClr val="FFFFFF">
              <a:tint val="80000"/>
              <a:satMod val="300000"/>
            </a:srgbClr>
          </a:gs>
          <a:gs pos="100000">
            <a:srgbClr val="959595">
              <a:shade val="30000"/>
              <a:satMod val="200000"/>
            </a:srgb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2017-07-06T01:07:00Z</dcterms:created>
  <dc:creator>Administrator</dc:creator>
  <cp:lastModifiedBy>Administrator</cp:lastModifiedBy>
  <dcterms:modified xsi:type="dcterms:W3CDTF">2017-07-06T03:31:37Z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